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93ED6" w14:textId="77777777" w:rsidR="00AB69C6" w:rsidRDefault="00436FB9" w:rsidP="00436FB9">
      <w:pPr>
        <w:widowControl w:val="0"/>
        <w:autoSpaceDE w:val="0"/>
        <w:autoSpaceDN w:val="0"/>
        <w:adjustRightInd w:val="0"/>
        <w:jc w:val="both"/>
        <w:rPr>
          <w:rFonts w:ascii="Calibri" w:hAnsi="Calibri" w:cs="Calibri"/>
          <w:b/>
          <w:i/>
          <w:iCs/>
          <w:spacing w:val="-6"/>
        </w:rPr>
      </w:pPr>
      <w:r w:rsidRPr="008C5683">
        <w:rPr>
          <w:rFonts w:ascii="Calibri" w:eastAsia="Avenir" w:hAnsi="Calibri" w:cs="Calibri"/>
          <w:noProof/>
          <w:spacing w:val="-6"/>
          <w:sz w:val="22"/>
          <w:szCs w:val="22"/>
        </w:rPr>
        <w:drawing>
          <wp:anchor distT="0" distB="0" distL="114300" distR="114300" simplePos="0" relativeHeight="251670528" behindDoc="1" locked="0" layoutInCell="1" allowOverlap="1" wp14:anchorId="38B519F8" wp14:editId="4526C5D0">
            <wp:simplePos x="0" y="0"/>
            <wp:positionH relativeFrom="column">
              <wp:posOffset>5146252</wp:posOffset>
            </wp:positionH>
            <wp:positionV relativeFrom="paragraph">
              <wp:posOffset>-231724</wp:posOffset>
            </wp:positionV>
            <wp:extent cx="1634197" cy="1255607"/>
            <wp:effectExtent l="0" t="0" r="444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7">
                      <a:extLst>
                        <a:ext uri="{28A0092B-C50C-407E-A947-70E740481C1C}">
                          <a14:useLocalDpi xmlns:a14="http://schemas.microsoft.com/office/drawing/2010/main" val="0"/>
                        </a:ext>
                      </a:extLst>
                    </a:blip>
                    <a:stretch>
                      <a:fillRect/>
                    </a:stretch>
                  </pic:blipFill>
                  <pic:spPr>
                    <a:xfrm>
                      <a:off x="0" y="0"/>
                      <a:ext cx="1634197" cy="125560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077139F" w14:textId="77777777" w:rsidR="00D225DB" w:rsidRDefault="00D225DB" w:rsidP="00AB69C6">
      <w:pPr>
        <w:widowControl w:val="0"/>
        <w:autoSpaceDE w:val="0"/>
        <w:autoSpaceDN w:val="0"/>
        <w:adjustRightInd w:val="0"/>
        <w:spacing w:after="240"/>
        <w:jc w:val="both"/>
        <w:rPr>
          <w:rFonts w:ascii="Calibri" w:hAnsi="Calibri" w:cs="Calibri"/>
          <w:b/>
          <w:i/>
          <w:iCs/>
          <w:spacing w:val="-6"/>
          <w:sz w:val="28"/>
          <w:szCs w:val="28"/>
        </w:rPr>
      </w:pPr>
    </w:p>
    <w:p w14:paraId="08F7225E" w14:textId="6EE63473" w:rsidR="00CA2A14" w:rsidRPr="008C5683" w:rsidRDefault="00992581" w:rsidP="00AB69C6">
      <w:pPr>
        <w:widowControl w:val="0"/>
        <w:autoSpaceDE w:val="0"/>
        <w:autoSpaceDN w:val="0"/>
        <w:adjustRightInd w:val="0"/>
        <w:spacing w:after="240"/>
        <w:jc w:val="both"/>
        <w:rPr>
          <w:rFonts w:ascii="Calibri" w:hAnsi="Calibri" w:cs="Calibri"/>
          <w:b/>
          <w:i/>
          <w:iCs/>
          <w:spacing w:val="-6"/>
        </w:rPr>
      </w:pPr>
      <w:r>
        <w:rPr>
          <w:rFonts w:ascii="Calibri" w:hAnsi="Calibri" w:cs="Calibri"/>
          <w:b/>
          <w:i/>
          <w:iCs/>
          <w:spacing w:val="-6"/>
          <w:sz w:val="28"/>
          <w:szCs w:val="28"/>
        </w:rPr>
        <w:t>COMUNICADO DE PRENSA</w:t>
      </w:r>
    </w:p>
    <w:p w14:paraId="3D386613" w14:textId="73AE08DB" w:rsidR="00DC0677" w:rsidRPr="00DC0677" w:rsidRDefault="00DC0677" w:rsidP="00AE436B">
      <w:pPr>
        <w:widowControl w:val="0"/>
        <w:autoSpaceDE w:val="0"/>
        <w:autoSpaceDN w:val="0"/>
        <w:adjustRightInd w:val="0"/>
        <w:rPr>
          <w:rFonts w:ascii="Calibri" w:hAnsi="Calibri" w:cs="Calibri"/>
          <w:b/>
          <w:color w:val="000000" w:themeColor="text1"/>
          <w:spacing w:val="-6"/>
          <w:sz w:val="48"/>
          <w:szCs w:val="48"/>
          <w:lang w:val="es-ES"/>
        </w:rPr>
      </w:pPr>
      <w:r w:rsidRPr="00DC0677">
        <w:rPr>
          <w:rFonts w:ascii="Calibri" w:hAnsi="Calibri" w:cs="Calibri"/>
          <w:b/>
          <w:color w:val="000000" w:themeColor="text1"/>
          <w:spacing w:val="-6"/>
          <w:sz w:val="48"/>
          <w:szCs w:val="48"/>
          <w:lang w:val="es-ES"/>
        </w:rPr>
        <w:t xml:space="preserve">Los </w:t>
      </w:r>
      <w:r w:rsidR="00D225DB">
        <w:rPr>
          <w:rFonts w:ascii="Calibri" w:hAnsi="Calibri" w:cs="Calibri"/>
          <w:b/>
          <w:color w:val="000000" w:themeColor="text1"/>
          <w:spacing w:val="-6"/>
          <w:sz w:val="48"/>
          <w:szCs w:val="48"/>
          <w:lang w:val="es-ES"/>
        </w:rPr>
        <w:t>marrajos</w:t>
      </w:r>
      <w:r w:rsidRPr="00DC0677">
        <w:rPr>
          <w:rFonts w:ascii="Calibri" w:hAnsi="Calibri" w:cs="Calibri"/>
          <w:b/>
          <w:color w:val="000000" w:themeColor="text1"/>
          <w:spacing w:val="-6"/>
          <w:sz w:val="48"/>
          <w:szCs w:val="48"/>
          <w:lang w:val="es-ES"/>
        </w:rPr>
        <w:t>, en peligro de extinción, obtienen un respiro</w:t>
      </w:r>
    </w:p>
    <w:p w14:paraId="4D96638F" w14:textId="5B5FB6D8" w:rsidR="00DC0677" w:rsidRPr="00DC0677" w:rsidRDefault="00DC0677" w:rsidP="00EF567A">
      <w:pPr>
        <w:jc w:val="both"/>
        <w:rPr>
          <w:rFonts w:ascii="Calibri" w:hAnsi="Calibri" w:cs="Calibri"/>
          <w:b/>
          <w:i/>
          <w:iCs/>
          <w:spacing w:val="-6"/>
          <w:sz w:val="28"/>
          <w:szCs w:val="28"/>
          <w:lang w:val="es-ES"/>
        </w:rPr>
      </w:pPr>
      <w:r w:rsidRPr="00DC0677">
        <w:rPr>
          <w:rFonts w:ascii="Calibri" w:hAnsi="Calibri" w:cs="Calibri"/>
          <w:b/>
          <w:i/>
          <w:iCs/>
          <w:spacing w:val="-6"/>
          <w:sz w:val="28"/>
          <w:szCs w:val="28"/>
          <w:lang w:val="es-ES"/>
        </w:rPr>
        <w:t>Los responsables de la pesca internacional acuerdan una prohibición histórica, aunque posiblemente cortoplacista, en el Atlántico Norte</w:t>
      </w:r>
    </w:p>
    <w:p w14:paraId="663F597E" w14:textId="27592BF7" w:rsidR="00DC0677" w:rsidRDefault="00DC0677" w:rsidP="00481625">
      <w:pPr>
        <w:jc w:val="both"/>
        <w:rPr>
          <w:rFonts w:ascii="Calibri" w:hAnsi="Calibri" w:cs="Calibri"/>
          <w:spacing w:val="-6"/>
          <w:sz w:val="23"/>
          <w:szCs w:val="23"/>
        </w:rPr>
      </w:pPr>
    </w:p>
    <w:p w14:paraId="22F87082" w14:textId="19855C07" w:rsidR="00DC0677" w:rsidRPr="00DC0677" w:rsidRDefault="00DC0677" w:rsidP="00481625">
      <w:pPr>
        <w:jc w:val="both"/>
        <w:rPr>
          <w:rFonts w:ascii="Calibri" w:hAnsi="Calibri" w:cs="Calibri"/>
          <w:spacing w:val="-6"/>
          <w:sz w:val="23"/>
          <w:szCs w:val="23"/>
          <w:lang w:val="es-ES"/>
        </w:rPr>
      </w:pPr>
      <w:r w:rsidRPr="00DC0677">
        <w:rPr>
          <w:rFonts w:ascii="Calibri" w:hAnsi="Calibri" w:cs="Calibri"/>
          <w:b/>
          <w:spacing w:val="-6"/>
          <w:sz w:val="23"/>
          <w:szCs w:val="23"/>
          <w:lang w:val="es-ES"/>
        </w:rPr>
        <w:t xml:space="preserve">Madrid, 23 de noviembre de 2021. </w:t>
      </w:r>
      <w:r w:rsidRPr="00DC0677">
        <w:rPr>
          <w:rFonts w:ascii="Calibri" w:hAnsi="Calibri" w:cs="Calibri"/>
          <w:bCs/>
          <w:spacing w:val="-6"/>
          <w:sz w:val="23"/>
          <w:szCs w:val="23"/>
          <w:lang w:val="es-ES"/>
        </w:rPr>
        <w:t xml:space="preserve">Los conservacionistas celebran la tan disputada prohibición de la retención de marrajos del Atlántico Norte adoptada hoy por la </w:t>
      </w:r>
      <w:r w:rsidRPr="00DC0677">
        <w:rPr>
          <w:rFonts w:asciiTheme="majorHAnsi" w:hAnsiTheme="majorHAnsi" w:cs="Arial"/>
          <w:spacing w:val="-6"/>
          <w:sz w:val="23"/>
          <w:szCs w:val="23"/>
          <w:lang w:val="es-ES"/>
        </w:rPr>
        <w:t>Comisión Internacional para la Conservación del Atún Atlántico (ICCAT)</w:t>
      </w:r>
      <w:r w:rsidRPr="00592DB5">
        <w:rPr>
          <w:rFonts w:asciiTheme="majorHAnsi" w:hAnsiTheme="majorHAnsi" w:cs="Arial"/>
          <w:spacing w:val="-6"/>
          <w:sz w:val="22"/>
          <w:szCs w:val="22"/>
          <w:lang w:val="es-ES"/>
        </w:rPr>
        <w:t xml:space="preserve"> </w:t>
      </w:r>
      <w:r w:rsidRPr="00DC0677">
        <w:rPr>
          <w:rFonts w:ascii="Calibri" w:hAnsi="Calibri" w:cs="Calibri"/>
          <w:bCs/>
          <w:spacing w:val="-6"/>
          <w:sz w:val="23"/>
          <w:szCs w:val="23"/>
          <w:lang w:val="es-ES"/>
        </w:rPr>
        <w:t xml:space="preserve">como un primer paso para revertir el declive de esta población, gravemente sobreexplotada. La prohibición constituye el eje central de un plan internacional de recuperación a largo plazo, el primero a escala internacional para esta valiosa y globalmente amenazada especie. Los responsables de las pesquerías de ICCAT acordaron que, en 2022 y 2023, se prohibirá todo tipo de retención de marrajos del Atlántico Norte, una medida que los científicos de ICCAT llevan aconsejando desde 2017. </w:t>
      </w:r>
      <w:r>
        <w:rPr>
          <w:rFonts w:ascii="Calibri" w:hAnsi="Calibri" w:cs="Calibri"/>
          <w:bCs/>
          <w:spacing w:val="-6"/>
          <w:sz w:val="23"/>
          <w:szCs w:val="23"/>
          <w:lang w:val="es-ES"/>
        </w:rPr>
        <w:t>Sin embargo, l</w:t>
      </w:r>
      <w:r w:rsidRPr="00DC0677">
        <w:rPr>
          <w:rFonts w:ascii="Calibri" w:hAnsi="Calibri" w:cs="Calibri"/>
          <w:bCs/>
          <w:spacing w:val="-6"/>
          <w:sz w:val="23"/>
          <w:szCs w:val="23"/>
          <w:lang w:val="es-ES"/>
        </w:rPr>
        <w:t xml:space="preserve">a UE </w:t>
      </w:r>
      <w:r>
        <w:rPr>
          <w:rFonts w:ascii="Calibri" w:hAnsi="Calibri" w:cs="Calibri"/>
          <w:bCs/>
          <w:spacing w:val="-6"/>
          <w:sz w:val="23"/>
          <w:szCs w:val="23"/>
          <w:lang w:val="es-ES"/>
        </w:rPr>
        <w:t>–</w:t>
      </w:r>
      <w:r w:rsidRPr="00DC0677">
        <w:rPr>
          <w:rFonts w:ascii="Calibri" w:hAnsi="Calibri" w:cs="Calibri"/>
          <w:bCs/>
          <w:spacing w:val="-6"/>
          <w:sz w:val="23"/>
          <w:szCs w:val="23"/>
          <w:lang w:val="es-ES"/>
        </w:rPr>
        <w:t>que durante mucho tiempo ha acaparado la mayor parte de las capturas de marrajo</w:t>
      </w:r>
      <w:r>
        <w:rPr>
          <w:rFonts w:ascii="Calibri" w:hAnsi="Calibri" w:cs="Calibri"/>
          <w:bCs/>
          <w:spacing w:val="-6"/>
          <w:sz w:val="23"/>
          <w:szCs w:val="23"/>
          <w:lang w:val="es-ES"/>
        </w:rPr>
        <w:t>–</w:t>
      </w:r>
      <w:r w:rsidRPr="00DC0677">
        <w:rPr>
          <w:rFonts w:ascii="Calibri" w:hAnsi="Calibri" w:cs="Calibri"/>
          <w:bCs/>
          <w:spacing w:val="-6"/>
          <w:sz w:val="23"/>
          <w:szCs w:val="23"/>
          <w:lang w:val="es-ES"/>
        </w:rPr>
        <w:t xml:space="preserve"> insistió en incluir una complicada fórmula que pueda ofrecer una vía para que algunas Partes reanuden los desembarcos tras la prórroga</w:t>
      </w:r>
      <w:r>
        <w:rPr>
          <w:rFonts w:ascii="Calibri" w:hAnsi="Calibri" w:cs="Calibri"/>
          <w:bCs/>
          <w:spacing w:val="-6"/>
          <w:sz w:val="23"/>
          <w:szCs w:val="23"/>
          <w:lang w:val="es-ES"/>
        </w:rPr>
        <w:t>.</w:t>
      </w:r>
    </w:p>
    <w:p w14:paraId="2B686735" w14:textId="5F4C23A9" w:rsidR="00DC0677" w:rsidRDefault="00DC0677" w:rsidP="00481625">
      <w:pPr>
        <w:jc w:val="both"/>
        <w:rPr>
          <w:rFonts w:ascii="Calibri" w:hAnsi="Calibri" w:cs="Calibri"/>
          <w:spacing w:val="-6"/>
          <w:sz w:val="23"/>
          <w:szCs w:val="23"/>
        </w:rPr>
      </w:pPr>
    </w:p>
    <w:p w14:paraId="0700E835" w14:textId="702D3849" w:rsidR="00DC0677" w:rsidRPr="00DC0677" w:rsidRDefault="00DC0677" w:rsidP="00481625">
      <w:pPr>
        <w:jc w:val="both"/>
        <w:rPr>
          <w:rFonts w:ascii="Calibri" w:hAnsi="Calibri" w:cs="Calibri"/>
          <w:spacing w:val="-6"/>
          <w:sz w:val="23"/>
          <w:szCs w:val="23"/>
          <w:lang w:val="es-ES"/>
        </w:rPr>
      </w:pPr>
      <w:r>
        <w:rPr>
          <w:rFonts w:ascii="Calibri" w:hAnsi="Calibri" w:cs="Calibri"/>
          <w:spacing w:val="-6"/>
          <w:sz w:val="23"/>
          <w:szCs w:val="23"/>
          <w:lang w:val="es-ES"/>
        </w:rPr>
        <w:t>«</w:t>
      </w:r>
      <w:r w:rsidRPr="00DC0677">
        <w:rPr>
          <w:rFonts w:ascii="Calibri" w:hAnsi="Calibri" w:cs="Calibri"/>
          <w:spacing w:val="-6"/>
          <w:sz w:val="23"/>
          <w:szCs w:val="23"/>
          <w:lang w:val="es-ES"/>
        </w:rPr>
        <w:t>Felicitamos a Canadá, al Reino Unido, a Senegal y a Gabón por abanderar esta protección histórica</w:t>
      </w:r>
      <w:r>
        <w:rPr>
          <w:rFonts w:ascii="Calibri" w:hAnsi="Calibri" w:cs="Calibri"/>
          <w:spacing w:val="-6"/>
          <w:sz w:val="23"/>
          <w:szCs w:val="23"/>
          <w:lang w:val="es-ES"/>
        </w:rPr>
        <w:t xml:space="preserve"> de </w:t>
      </w:r>
      <w:r w:rsidR="00D225DB">
        <w:rPr>
          <w:rFonts w:ascii="Calibri" w:hAnsi="Calibri" w:cs="Calibri"/>
          <w:spacing w:val="-6"/>
          <w:sz w:val="23"/>
          <w:szCs w:val="23"/>
          <w:lang w:val="es-ES"/>
        </w:rPr>
        <w:t>fundamento</w:t>
      </w:r>
      <w:r>
        <w:rPr>
          <w:rFonts w:ascii="Calibri" w:hAnsi="Calibri" w:cs="Calibri"/>
          <w:spacing w:val="-6"/>
          <w:sz w:val="23"/>
          <w:szCs w:val="23"/>
          <w:lang w:val="es-ES"/>
        </w:rPr>
        <w:t xml:space="preserve"> científic</w:t>
      </w:r>
      <w:r w:rsidR="00D225DB">
        <w:rPr>
          <w:rFonts w:ascii="Calibri" w:hAnsi="Calibri" w:cs="Calibri"/>
          <w:spacing w:val="-6"/>
          <w:sz w:val="23"/>
          <w:szCs w:val="23"/>
          <w:lang w:val="es-ES"/>
        </w:rPr>
        <w:t>o</w:t>
      </w:r>
      <w:r>
        <w:rPr>
          <w:rFonts w:ascii="Calibri" w:hAnsi="Calibri" w:cs="Calibri"/>
          <w:spacing w:val="-6"/>
          <w:sz w:val="23"/>
          <w:szCs w:val="23"/>
          <w:lang w:val="es-ES"/>
        </w:rPr>
        <w:t xml:space="preserve"> a favor de </w:t>
      </w:r>
      <w:r w:rsidRPr="00DC0677">
        <w:rPr>
          <w:rFonts w:ascii="Calibri" w:hAnsi="Calibri" w:cs="Calibri"/>
          <w:spacing w:val="-6"/>
          <w:sz w:val="23"/>
          <w:szCs w:val="23"/>
          <w:lang w:val="es-ES"/>
        </w:rPr>
        <w:t>los amenazados marrajos</w:t>
      </w:r>
      <w:r>
        <w:rPr>
          <w:rFonts w:ascii="Calibri" w:hAnsi="Calibri" w:cs="Calibri"/>
          <w:spacing w:val="-6"/>
          <w:sz w:val="23"/>
          <w:szCs w:val="23"/>
          <w:lang w:val="es-ES"/>
        </w:rPr>
        <w:t>»</w:t>
      </w:r>
      <w:r w:rsidRPr="00DC0677">
        <w:rPr>
          <w:rFonts w:ascii="Calibri" w:hAnsi="Calibri" w:cs="Calibri"/>
          <w:spacing w:val="-6"/>
          <w:sz w:val="23"/>
          <w:szCs w:val="23"/>
          <w:lang w:val="es-ES"/>
        </w:rPr>
        <w:t xml:space="preserve">, dijo Shannon Arnold, coordinadora del programa marino del Ecology Action Centre. </w:t>
      </w:r>
      <w:r>
        <w:rPr>
          <w:rFonts w:ascii="Calibri" w:hAnsi="Calibri" w:cs="Calibri"/>
          <w:spacing w:val="-6"/>
          <w:sz w:val="23"/>
          <w:szCs w:val="23"/>
          <w:lang w:val="es-ES"/>
        </w:rPr>
        <w:t>«H</w:t>
      </w:r>
      <w:r w:rsidRPr="00DC0677">
        <w:rPr>
          <w:rFonts w:ascii="Calibri" w:hAnsi="Calibri" w:cs="Calibri"/>
          <w:spacing w:val="-6"/>
          <w:sz w:val="23"/>
          <w:szCs w:val="23"/>
          <w:lang w:val="es-ES"/>
        </w:rPr>
        <w:t xml:space="preserve">oy </w:t>
      </w:r>
      <w:r>
        <w:rPr>
          <w:rFonts w:ascii="Calibri" w:hAnsi="Calibri" w:cs="Calibri"/>
          <w:spacing w:val="-6"/>
          <w:sz w:val="23"/>
          <w:szCs w:val="23"/>
          <w:lang w:val="es-ES"/>
        </w:rPr>
        <w:t xml:space="preserve">celebramos </w:t>
      </w:r>
      <w:r w:rsidRPr="00DC0677">
        <w:rPr>
          <w:rFonts w:ascii="Calibri" w:hAnsi="Calibri" w:cs="Calibri"/>
          <w:spacing w:val="-6"/>
          <w:sz w:val="23"/>
          <w:szCs w:val="23"/>
          <w:lang w:val="es-ES"/>
        </w:rPr>
        <w:t xml:space="preserve">este </w:t>
      </w:r>
      <w:r w:rsidR="006245CB">
        <w:rPr>
          <w:rFonts w:ascii="Calibri" w:hAnsi="Calibri" w:cs="Calibri"/>
          <w:spacing w:val="-6"/>
          <w:sz w:val="23"/>
          <w:szCs w:val="23"/>
          <w:lang w:val="es-ES"/>
        </w:rPr>
        <w:t>avance decisivo</w:t>
      </w:r>
      <w:r w:rsidRPr="00DC0677">
        <w:rPr>
          <w:rFonts w:ascii="Calibri" w:hAnsi="Calibri" w:cs="Calibri"/>
          <w:spacing w:val="-6"/>
          <w:sz w:val="23"/>
          <w:szCs w:val="23"/>
          <w:lang w:val="es-ES"/>
        </w:rPr>
        <w:t>, pero sabemos que la lucha para reforzarlo comienza mañana. De estas negociaciones se deduce claramente que la UE sigue centrada en reactivar la explotación lo antes posible. P</w:t>
      </w:r>
      <w:r w:rsidR="006245CB">
        <w:rPr>
          <w:rFonts w:ascii="Calibri" w:hAnsi="Calibri" w:cs="Calibri"/>
          <w:spacing w:val="-6"/>
          <w:sz w:val="23"/>
          <w:szCs w:val="23"/>
          <w:lang w:val="es-ES"/>
        </w:rPr>
        <w:t>or eso, p</w:t>
      </w:r>
      <w:r w:rsidRPr="00DC0677">
        <w:rPr>
          <w:rFonts w:ascii="Calibri" w:hAnsi="Calibri" w:cs="Calibri"/>
          <w:spacing w:val="-6"/>
          <w:sz w:val="23"/>
          <w:szCs w:val="23"/>
          <w:lang w:val="es-ES"/>
        </w:rPr>
        <w:t xml:space="preserve">ara evitar los tejemanejes y </w:t>
      </w:r>
      <w:r w:rsidR="006245CB">
        <w:rPr>
          <w:rFonts w:ascii="Calibri" w:hAnsi="Calibri" w:cs="Calibri"/>
          <w:spacing w:val="-6"/>
          <w:sz w:val="23"/>
          <w:szCs w:val="23"/>
          <w:lang w:val="es-ES"/>
        </w:rPr>
        <w:t>que se produzca un retroceso</w:t>
      </w:r>
      <w:r w:rsidRPr="00DC0677">
        <w:rPr>
          <w:rFonts w:ascii="Calibri" w:hAnsi="Calibri" w:cs="Calibri"/>
          <w:spacing w:val="-6"/>
          <w:sz w:val="23"/>
          <w:szCs w:val="23"/>
          <w:lang w:val="es-ES"/>
        </w:rPr>
        <w:t xml:space="preserve"> en 2024, necesitamos que </w:t>
      </w:r>
      <w:r w:rsidR="006245CB">
        <w:rPr>
          <w:rFonts w:ascii="Calibri" w:hAnsi="Calibri" w:cs="Calibri"/>
          <w:spacing w:val="-6"/>
          <w:sz w:val="23"/>
          <w:szCs w:val="23"/>
          <w:lang w:val="es-ES"/>
        </w:rPr>
        <w:t>se sumen</w:t>
      </w:r>
      <w:r w:rsidRPr="00DC0677">
        <w:rPr>
          <w:rFonts w:ascii="Calibri" w:hAnsi="Calibri" w:cs="Calibri"/>
          <w:spacing w:val="-6"/>
          <w:sz w:val="23"/>
          <w:szCs w:val="23"/>
          <w:lang w:val="es-ES"/>
        </w:rPr>
        <w:t xml:space="preserve"> aún más países </w:t>
      </w:r>
      <w:r w:rsidR="006245CB">
        <w:rPr>
          <w:rFonts w:ascii="Calibri" w:hAnsi="Calibri" w:cs="Calibri"/>
          <w:spacing w:val="-6"/>
          <w:sz w:val="23"/>
          <w:szCs w:val="23"/>
          <w:lang w:val="es-ES"/>
        </w:rPr>
        <w:t>al debate</w:t>
      </w:r>
      <w:r w:rsidRPr="00DC0677">
        <w:rPr>
          <w:rFonts w:ascii="Calibri" w:hAnsi="Calibri" w:cs="Calibri"/>
          <w:spacing w:val="-6"/>
          <w:sz w:val="23"/>
          <w:szCs w:val="23"/>
          <w:lang w:val="es-ES"/>
        </w:rPr>
        <w:t xml:space="preserve"> </w:t>
      </w:r>
      <w:r w:rsidR="006245CB">
        <w:rPr>
          <w:rFonts w:ascii="Calibri" w:hAnsi="Calibri" w:cs="Calibri"/>
          <w:spacing w:val="-6"/>
          <w:sz w:val="23"/>
          <w:szCs w:val="23"/>
          <w:lang w:val="es-ES"/>
        </w:rPr>
        <w:t>y que luchen</w:t>
      </w:r>
      <w:r w:rsidRPr="00DC0677">
        <w:rPr>
          <w:rFonts w:ascii="Calibri" w:hAnsi="Calibri" w:cs="Calibri"/>
          <w:spacing w:val="-6"/>
          <w:sz w:val="23"/>
          <w:szCs w:val="23"/>
          <w:lang w:val="es-ES"/>
        </w:rPr>
        <w:t xml:space="preserve"> con el mismo </w:t>
      </w:r>
      <w:r w:rsidR="006245CB">
        <w:rPr>
          <w:rFonts w:ascii="Calibri" w:hAnsi="Calibri" w:cs="Calibri"/>
          <w:spacing w:val="-6"/>
          <w:sz w:val="23"/>
          <w:szCs w:val="23"/>
          <w:lang w:val="es-ES"/>
        </w:rPr>
        <w:t>ahínco con el objetivo de</w:t>
      </w:r>
      <w:r w:rsidRPr="00DC0677">
        <w:rPr>
          <w:rFonts w:ascii="Calibri" w:hAnsi="Calibri" w:cs="Calibri"/>
          <w:spacing w:val="-6"/>
          <w:sz w:val="23"/>
          <w:szCs w:val="23"/>
          <w:lang w:val="es-ES"/>
        </w:rPr>
        <w:t xml:space="preserve"> reconstruir la población</w:t>
      </w:r>
      <w:r w:rsidR="006245CB">
        <w:rPr>
          <w:rFonts w:ascii="Calibri" w:hAnsi="Calibri" w:cs="Calibri"/>
          <w:spacing w:val="-6"/>
          <w:sz w:val="23"/>
          <w:szCs w:val="23"/>
          <w:lang w:val="es-ES"/>
        </w:rPr>
        <w:t>».</w:t>
      </w:r>
    </w:p>
    <w:p w14:paraId="136D1DE9" w14:textId="5C214218" w:rsidR="006245CB" w:rsidRDefault="006245CB" w:rsidP="00994F5A">
      <w:pPr>
        <w:jc w:val="both"/>
        <w:rPr>
          <w:rFonts w:ascii="Calibri" w:hAnsi="Calibri" w:cs="Calibri"/>
          <w:spacing w:val="-6"/>
          <w:sz w:val="23"/>
          <w:szCs w:val="23"/>
        </w:rPr>
      </w:pPr>
    </w:p>
    <w:p w14:paraId="02F17361" w14:textId="17CA8271" w:rsidR="006245CB" w:rsidRPr="006245CB" w:rsidRDefault="006245CB" w:rsidP="00994F5A">
      <w:pPr>
        <w:jc w:val="both"/>
        <w:rPr>
          <w:rFonts w:ascii="Calibri" w:hAnsi="Calibri" w:cs="Calibri"/>
          <w:spacing w:val="-6"/>
          <w:sz w:val="23"/>
          <w:szCs w:val="23"/>
          <w:lang w:val="es-ES"/>
        </w:rPr>
      </w:pPr>
      <w:r w:rsidRPr="006245CB">
        <w:rPr>
          <w:rFonts w:ascii="Calibri" w:hAnsi="Calibri" w:cs="Calibri"/>
          <w:spacing w:val="-6"/>
          <w:sz w:val="23"/>
          <w:szCs w:val="23"/>
          <w:lang w:val="es-ES"/>
        </w:rPr>
        <w:t>Los científicos han recomendado que se prohíba la retención del marrajo dientuso en el Atlántico Norte, ya que se trata de la medida inmediata más eficaz para revertir el declive y regenerar la población en un plazo de unos 50 años. Numerosos países han planteado repetidamente esta prohibición, pero las propuestas de excepción contrapuestas de la UE y EE. UU. han impedido alcanzar un consenso durante años.</w:t>
      </w:r>
    </w:p>
    <w:p w14:paraId="4885139A" w14:textId="344DDF0D" w:rsidR="006245CB" w:rsidRDefault="006245CB" w:rsidP="00994F5A">
      <w:pPr>
        <w:jc w:val="both"/>
        <w:rPr>
          <w:rFonts w:ascii="Calibri" w:hAnsi="Calibri" w:cs="Calibri"/>
          <w:spacing w:val="-6"/>
          <w:sz w:val="23"/>
          <w:szCs w:val="23"/>
        </w:rPr>
      </w:pPr>
    </w:p>
    <w:p w14:paraId="2A72C2FA" w14:textId="1900325D" w:rsidR="006245CB" w:rsidRPr="006245CB" w:rsidRDefault="006245CB" w:rsidP="00994F5A">
      <w:pPr>
        <w:jc w:val="both"/>
        <w:rPr>
          <w:rFonts w:ascii="Calibri" w:hAnsi="Calibri" w:cs="Calibri"/>
          <w:bCs/>
          <w:spacing w:val="-6"/>
          <w:sz w:val="23"/>
          <w:szCs w:val="23"/>
          <w:lang w:val="es-ES"/>
        </w:rPr>
      </w:pPr>
      <w:r w:rsidRPr="006245CB">
        <w:rPr>
          <w:rFonts w:ascii="Calibri" w:hAnsi="Calibri" w:cs="Calibri"/>
          <w:bCs/>
          <w:spacing w:val="-6"/>
          <w:sz w:val="23"/>
          <w:szCs w:val="23"/>
          <w:lang w:val="es-ES"/>
        </w:rPr>
        <w:t>Al contar con una inmensa flota palangrera y aplicar una laxa gestión del marrajo, la UE sigue siendo la principal amenaza para la recuperación. La UE se hizo con el 74</w:t>
      </w:r>
      <w:r>
        <w:rPr>
          <w:rFonts w:ascii="Calibri" w:hAnsi="Calibri" w:cs="Calibri"/>
          <w:bCs/>
          <w:spacing w:val="-6"/>
          <w:sz w:val="23"/>
          <w:szCs w:val="23"/>
          <w:lang w:val="es-ES"/>
        </w:rPr>
        <w:t> </w:t>
      </w:r>
      <w:r w:rsidRPr="006245CB">
        <w:rPr>
          <w:rFonts w:ascii="Calibri" w:hAnsi="Calibri" w:cs="Calibri"/>
          <w:bCs/>
          <w:spacing w:val="-6"/>
          <w:sz w:val="23"/>
          <w:szCs w:val="23"/>
          <w:lang w:val="es-ES"/>
        </w:rPr>
        <w:t xml:space="preserve">% de las capturas de marrajo del Atlántico Norte en 2020 </w:t>
      </w:r>
      <w:r>
        <w:rPr>
          <w:rFonts w:ascii="Calibri" w:hAnsi="Calibri" w:cs="Calibri"/>
          <w:bCs/>
          <w:spacing w:val="-6"/>
          <w:sz w:val="23"/>
          <w:szCs w:val="23"/>
          <w:lang w:val="es-ES"/>
        </w:rPr>
        <w:t>y no</w:t>
      </w:r>
      <w:r w:rsidRPr="006245CB">
        <w:rPr>
          <w:rFonts w:ascii="Calibri" w:hAnsi="Calibri" w:cs="Calibri"/>
          <w:bCs/>
          <w:spacing w:val="-6"/>
          <w:sz w:val="23"/>
          <w:szCs w:val="23"/>
          <w:lang w:val="es-ES"/>
        </w:rPr>
        <w:t xml:space="preserve"> fijó su primer límite de capturas</w:t>
      </w:r>
      <w:r>
        <w:rPr>
          <w:rFonts w:ascii="Calibri" w:hAnsi="Calibri" w:cs="Calibri"/>
          <w:bCs/>
          <w:spacing w:val="-6"/>
          <w:sz w:val="23"/>
          <w:szCs w:val="23"/>
          <w:lang w:val="es-ES"/>
        </w:rPr>
        <w:t xml:space="preserve"> hasta</w:t>
      </w:r>
      <w:r w:rsidRPr="006245CB">
        <w:rPr>
          <w:rFonts w:ascii="Calibri" w:hAnsi="Calibri" w:cs="Calibri"/>
          <w:bCs/>
          <w:spacing w:val="-6"/>
          <w:sz w:val="23"/>
          <w:szCs w:val="23"/>
          <w:lang w:val="es-ES"/>
        </w:rPr>
        <w:t xml:space="preserve"> este año. E</w:t>
      </w:r>
      <w:r>
        <w:rPr>
          <w:rFonts w:ascii="Calibri" w:hAnsi="Calibri" w:cs="Calibri"/>
          <w:bCs/>
          <w:spacing w:val="-6"/>
          <w:sz w:val="23"/>
          <w:szCs w:val="23"/>
          <w:lang w:val="es-ES"/>
        </w:rPr>
        <w:t xml:space="preserve">n el caso de </w:t>
      </w:r>
      <w:r w:rsidRPr="006245CB">
        <w:rPr>
          <w:rFonts w:ascii="Calibri" w:hAnsi="Calibri" w:cs="Calibri"/>
          <w:bCs/>
          <w:spacing w:val="-6"/>
          <w:sz w:val="23"/>
          <w:szCs w:val="23"/>
          <w:lang w:val="es-ES"/>
        </w:rPr>
        <w:t>España</w:t>
      </w:r>
      <w:r>
        <w:rPr>
          <w:rFonts w:ascii="Calibri" w:hAnsi="Calibri" w:cs="Calibri"/>
          <w:bCs/>
          <w:spacing w:val="-6"/>
          <w:sz w:val="23"/>
          <w:szCs w:val="23"/>
          <w:lang w:val="es-ES"/>
        </w:rPr>
        <w:t>, la cifra</w:t>
      </w:r>
      <w:r w:rsidRPr="006245CB">
        <w:rPr>
          <w:rFonts w:ascii="Calibri" w:hAnsi="Calibri" w:cs="Calibri"/>
          <w:bCs/>
          <w:spacing w:val="-6"/>
          <w:sz w:val="23"/>
          <w:szCs w:val="23"/>
          <w:lang w:val="es-ES"/>
        </w:rPr>
        <w:t xml:space="preserve"> se superó con creces </w:t>
      </w:r>
      <w:r>
        <w:rPr>
          <w:rFonts w:ascii="Calibri" w:hAnsi="Calibri" w:cs="Calibri"/>
          <w:bCs/>
          <w:spacing w:val="-6"/>
          <w:sz w:val="23"/>
          <w:szCs w:val="23"/>
          <w:lang w:val="es-ES"/>
        </w:rPr>
        <w:t>durante</w:t>
      </w:r>
      <w:r w:rsidRPr="006245CB">
        <w:rPr>
          <w:rFonts w:ascii="Calibri" w:hAnsi="Calibri" w:cs="Calibri"/>
          <w:bCs/>
          <w:spacing w:val="-6"/>
          <w:sz w:val="23"/>
          <w:szCs w:val="23"/>
          <w:lang w:val="es-ES"/>
        </w:rPr>
        <w:t xml:space="preserve"> </w:t>
      </w:r>
      <w:r w:rsidR="00D225DB">
        <w:rPr>
          <w:rFonts w:ascii="Calibri" w:hAnsi="Calibri" w:cs="Calibri"/>
          <w:bCs/>
          <w:spacing w:val="-6"/>
          <w:sz w:val="23"/>
          <w:szCs w:val="23"/>
          <w:lang w:val="es-ES"/>
        </w:rPr>
        <w:t xml:space="preserve">el </w:t>
      </w:r>
      <w:r w:rsidRPr="006245CB">
        <w:rPr>
          <w:rFonts w:ascii="Calibri" w:hAnsi="Calibri" w:cs="Calibri"/>
          <w:bCs/>
          <w:spacing w:val="-6"/>
          <w:sz w:val="23"/>
          <w:szCs w:val="23"/>
          <w:lang w:val="es-ES"/>
        </w:rPr>
        <w:t>año pasado.</w:t>
      </w:r>
    </w:p>
    <w:p w14:paraId="792907BF" w14:textId="361B2B1D" w:rsidR="006245CB" w:rsidRDefault="006245CB" w:rsidP="0004082D">
      <w:pPr>
        <w:jc w:val="both"/>
        <w:rPr>
          <w:rFonts w:ascii="Calibri" w:hAnsi="Calibri" w:cs="Calibri"/>
          <w:spacing w:val="-6"/>
          <w:sz w:val="23"/>
          <w:szCs w:val="23"/>
        </w:rPr>
      </w:pPr>
    </w:p>
    <w:p w14:paraId="4B51D3C6" w14:textId="10B559DD" w:rsidR="006245CB" w:rsidRPr="006245CB" w:rsidRDefault="006245CB" w:rsidP="0004082D">
      <w:pPr>
        <w:jc w:val="both"/>
        <w:rPr>
          <w:rFonts w:ascii="Calibri" w:hAnsi="Calibri" w:cs="Calibri"/>
          <w:spacing w:val="-6"/>
          <w:sz w:val="23"/>
          <w:szCs w:val="23"/>
          <w:lang w:val="es-ES"/>
        </w:rPr>
      </w:pPr>
      <w:r>
        <w:rPr>
          <w:rFonts w:ascii="Calibri" w:hAnsi="Calibri" w:cs="Calibri"/>
          <w:spacing w:val="-6"/>
          <w:sz w:val="23"/>
          <w:szCs w:val="23"/>
          <w:lang w:val="es-ES"/>
        </w:rPr>
        <w:t>«</w:t>
      </w:r>
      <w:r w:rsidRPr="006245CB">
        <w:rPr>
          <w:rFonts w:ascii="Calibri" w:hAnsi="Calibri" w:cs="Calibri"/>
          <w:spacing w:val="-6"/>
          <w:sz w:val="23"/>
          <w:szCs w:val="23"/>
          <w:lang w:val="es-ES"/>
        </w:rPr>
        <w:t>Por fin disponemos de los cimientos de un plan de recuperación que supondrá un punto de inflexión, pero no llegará a buen puerto si perdemos de vista a la UE y a su atroz intención de reanudar la pesca una década antes de que se prevea el inicio de la recuperación</w:t>
      </w:r>
      <w:r w:rsidR="006C77B4">
        <w:rPr>
          <w:rFonts w:ascii="Calibri" w:hAnsi="Calibri" w:cs="Calibri"/>
          <w:spacing w:val="-6"/>
          <w:sz w:val="23"/>
          <w:szCs w:val="23"/>
          <w:lang w:val="es-ES"/>
        </w:rPr>
        <w:t>»</w:t>
      </w:r>
      <w:r w:rsidRPr="006245CB">
        <w:rPr>
          <w:rFonts w:ascii="Calibri" w:hAnsi="Calibri" w:cs="Calibri"/>
          <w:spacing w:val="-6"/>
          <w:sz w:val="23"/>
          <w:szCs w:val="23"/>
          <w:lang w:val="es-ES"/>
        </w:rPr>
        <w:t xml:space="preserve">, declaró Ali Hood, </w:t>
      </w:r>
      <w:r w:rsidR="006C77B4">
        <w:rPr>
          <w:rFonts w:ascii="Calibri" w:hAnsi="Calibri" w:cs="Calibri"/>
          <w:spacing w:val="-6"/>
          <w:sz w:val="23"/>
          <w:szCs w:val="23"/>
          <w:lang w:val="es-ES"/>
        </w:rPr>
        <w:t>d</w:t>
      </w:r>
      <w:r w:rsidRPr="006245CB">
        <w:rPr>
          <w:rFonts w:ascii="Calibri" w:hAnsi="Calibri" w:cs="Calibri"/>
          <w:spacing w:val="-6"/>
          <w:sz w:val="23"/>
          <w:szCs w:val="23"/>
          <w:lang w:val="es-ES"/>
        </w:rPr>
        <w:t xml:space="preserve">irector de Conservación de Shark Trust. </w:t>
      </w:r>
      <w:r w:rsidR="006C77B4">
        <w:rPr>
          <w:rFonts w:ascii="Calibri" w:hAnsi="Calibri" w:cs="Calibri"/>
          <w:spacing w:val="-6"/>
          <w:sz w:val="23"/>
          <w:szCs w:val="23"/>
          <w:lang w:val="es-ES"/>
        </w:rPr>
        <w:t>«</w:t>
      </w:r>
      <w:r w:rsidRPr="006245CB">
        <w:rPr>
          <w:rFonts w:ascii="Calibri" w:hAnsi="Calibri" w:cs="Calibri"/>
          <w:spacing w:val="-6"/>
          <w:sz w:val="23"/>
          <w:szCs w:val="23"/>
          <w:lang w:val="es-ES"/>
        </w:rPr>
        <w:t xml:space="preserve">Sin embargo, </w:t>
      </w:r>
      <w:r w:rsidR="00D225DB">
        <w:rPr>
          <w:rFonts w:ascii="Calibri" w:hAnsi="Calibri" w:cs="Calibri"/>
          <w:spacing w:val="-6"/>
          <w:sz w:val="23"/>
          <w:szCs w:val="23"/>
          <w:lang w:val="es-ES"/>
        </w:rPr>
        <w:t>ahora</w:t>
      </w:r>
      <w:r w:rsidRPr="006245CB">
        <w:rPr>
          <w:rFonts w:ascii="Calibri" w:hAnsi="Calibri" w:cs="Calibri"/>
          <w:spacing w:val="-6"/>
          <w:sz w:val="23"/>
          <w:szCs w:val="23"/>
          <w:lang w:val="es-ES"/>
        </w:rPr>
        <w:t xml:space="preserve"> debemos centrarnos en la abrumadora ola de concienciación que nos ha ayudado a lograr este</w:t>
      </w:r>
      <w:r w:rsidR="006C77B4">
        <w:rPr>
          <w:rFonts w:ascii="Calibri" w:hAnsi="Calibri" w:cs="Calibri"/>
          <w:spacing w:val="-6"/>
          <w:sz w:val="23"/>
          <w:szCs w:val="23"/>
          <w:lang w:val="es-ES"/>
        </w:rPr>
        <w:t xml:space="preserve"> </w:t>
      </w:r>
      <w:r w:rsidRPr="006245CB">
        <w:rPr>
          <w:rFonts w:ascii="Calibri" w:hAnsi="Calibri" w:cs="Calibri"/>
          <w:spacing w:val="-6"/>
          <w:sz w:val="23"/>
          <w:szCs w:val="23"/>
          <w:lang w:val="es-ES"/>
        </w:rPr>
        <w:t>decisivo</w:t>
      </w:r>
      <w:r w:rsidR="006C77B4">
        <w:rPr>
          <w:rFonts w:ascii="Calibri" w:hAnsi="Calibri" w:cs="Calibri"/>
          <w:spacing w:val="-6"/>
          <w:sz w:val="23"/>
          <w:szCs w:val="23"/>
          <w:lang w:val="es-ES"/>
        </w:rPr>
        <w:t xml:space="preserve"> </w:t>
      </w:r>
      <w:r w:rsidR="006C77B4" w:rsidRPr="006245CB">
        <w:rPr>
          <w:rFonts w:ascii="Calibri" w:hAnsi="Calibri" w:cs="Calibri"/>
          <w:spacing w:val="-6"/>
          <w:sz w:val="23"/>
          <w:szCs w:val="23"/>
          <w:lang w:val="es-ES"/>
        </w:rPr>
        <w:t>avance</w:t>
      </w:r>
      <w:r w:rsidRPr="006245CB">
        <w:rPr>
          <w:rFonts w:ascii="Calibri" w:hAnsi="Calibri" w:cs="Calibri"/>
          <w:spacing w:val="-6"/>
          <w:sz w:val="23"/>
          <w:szCs w:val="23"/>
          <w:lang w:val="es-ES"/>
        </w:rPr>
        <w:t xml:space="preserve">. Estamos profundamente agradecidos </w:t>
      </w:r>
      <w:r w:rsidR="006C77B4">
        <w:rPr>
          <w:rFonts w:ascii="Calibri" w:hAnsi="Calibri" w:cs="Calibri"/>
          <w:spacing w:val="-6"/>
          <w:sz w:val="23"/>
          <w:szCs w:val="23"/>
          <w:lang w:val="es-ES"/>
        </w:rPr>
        <w:t>a quienes han alzado su voz por los marrajos</w:t>
      </w:r>
      <w:r w:rsidR="00A83496">
        <w:rPr>
          <w:rFonts w:ascii="Calibri" w:hAnsi="Calibri" w:cs="Calibri"/>
          <w:spacing w:val="-6"/>
          <w:sz w:val="23"/>
          <w:szCs w:val="23"/>
          <w:lang w:val="es-ES"/>
        </w:rPr>
        <w:t xml:space="preserve"> (‘Voices for Makos’), es decir, </w:t>
      </w:r>
      <w:r w:rsidR="006C77B4">
        <w:rPr>
          <w:rFonts w:ascii="Calibri" w:hAnsi="Calibri" w:cs="Calibri"/>
          <w:spacing w:val="-6"/>
          <w:sz w:val="23"/>
          <w:szCs w:val="23"/>
          <w:lang w:val="es-ES"/>
        </w:rPr>
        <w:t xml:space="preserve">a </w:t>
      </w:r>
      <w:r w:rsidRPr="006245CB">
        <w:rPr>
          <w:rFonts w:ascii="Calibri" w:hAnsi="Calibri" w:cs="Calibri"/>
          <w:spacing w:val="-6"/>
          <w:sz w:val="23"/>
          <w:szCs w:val="23"/>
          <w:lang w:val="es-ES"/>
        </w:rPr>
        <w:t>los continuos llamamientos de conservacionistas, buceadores, científicos, acuaristas, minoristas y representantes electos para proteger a este asediado tiburón</w:t>
      </w:r>
      <w:r w:rsidR="006C77B4">
        <w:rPr>
          <w:rFonts w:ascii="Calibri" w:hAnsi="Calibri" w:cs="Calibri"/>
          <w:spacing w:val="-6"/>
          <w:sz w:val="23"/>
          <w:szCs w:val="23"/>
          <w:lang w:val="es-ES"/>
        </w:rPr>
        <w:t>».</w:t>
      </w:r>
    </w:p>
    <w:p w14:paraId="09434AF2" w14:textId="759EE06E" w:rsidR="006C77B4" w:rsidRDefault="006C77B4" w:rsidP="00BD2357">
      <w:pPr>
        <w:jc w:val="both"/>
        <w:rPr>
          <w:rFonts w:ascii="Calibri" w:eastAsiaTheme="minorEastAsia" w:hAnsi="Calibri" w:cs="Calibri"/>
          <w:color w:val="000000"/>
          <w:spacing w:val="-6"/>
          <w:sz w:val="23"/>
          <w:szCs w:val="23"/>
          <w:lang w:val="en-GB"/>
        </w:rPr>
      </w:pPr>
    </w:p>
    <w:p w14:paraId="6B14D6D7" w14:textId="68709129" w:rsidR="006C77B4" w:rsidRPr="006C77B4" w:rsidRDefault="006C77B4" w:rsidP="00BD2357">
      <w:pPr>
        <w:jc w:val="both"/>
        <w:rPr>
          <w:rFonts w:ascii="Calibri" w:eastAsiaTheme="minorEastAsia" w:hAnsi="Calibri" w:cs="Calibri"/>
          <w:color w:val="000000"/>
          <w:spacing w:val="-6"/>
          <w:sz w:val="23"/>
          <w:szCs w:val="23"/>
          <w:lang w:val="en-GB"/>
        </w:rPr>
      </w:pPr>
      <w:r w:rsidRPr="006C77B4">
        <w:rPr>
          <w:rFonts w:ascii="Calibri" w:hAnsi="Calibri" w:cs="Calibri"/>
          <w:spacing w:val="-6"/>
          <w:sz w:val="23"/>
          <w:szCs w:val="23"/>
          <w:lang w:val="es-ES"/>
        </w:rPr>
        <w:t>Apreciados por su carne, sus aletas y la práctica deportiva, los marrajos se encuentran entre los tiburones más valioso</w:t>
      </w:r>
      <w:r>
        <w:rPr>
          <w:rFonts w:ascii="Calibri" w:hAnsi="Calibri" w:cs="Calibri"/>
          <w:spacing w:val="-6"/>
          <w:sz w:val="23"/>
          <w:szCs w:val="23"/>
          <w:lang w:val="es-ES"/>
        </w:rPr>
        <w:t>s</w:t>
      </w:r>
      <w:r w:rsidRPr="006C77B4">
        <w:rPr>
          <w:rFonts w:ascii="Calibri" w:hAnsi="Calibri" w:cs="Calibri"/>
          <w:spacing w:val="-6"/>
          <w:sz w:val="23"/>
          <w:szCs w:val="23"/>
          <w:lang w:val="es-ES"/>
        </w:rPr>
        <w:t>. Su lento crecimiento los hace excepcionalmente vulnerables a la sobrepesca</w:t>
      </w:r>
      <w:r w:rsidR="00E26F5F">
        <w:rPr>
          <w:rFonts w:ascii="Calibri" w:hAnsi="Calibri" w:cs="Calibri"/>
          <w:spacing w:val="-6"/>
          <w:sz w:val="23"/>
          <w:szCs w:val="23"/>
          <w:lang w:val="es-ES"/>
        </w:rPr>
        <w:t>, al igual que a sus parientes, los marrajos carite</w:t>
      </w:r>
      <w:r w:rsidRPr="006C77B4">
        <w:rPr>
          <w:rFonts w:ascii="Calibri" w:hAnsi="Calibri" w:cs="Calibri"/>
          <w:spacing w:val="-6"/>
          <w:sz w:val="23"/>
          <w:szCs w:val="23"/>
          <w:lang w:val="es-ES"/>
        </w:rPr>
        <w:t xml:space="preserve">. </w:t>
      </w:r>
      <w:r w:rsidR="00E26F5F">
        <w:rPr>
          <w:rFonts w:ascii="Calibri" w:hAnsi="Calibri" w:cs="Calibri"/>
          <w:spacing w:val="-6"/>
          <w:sz w:val="23"/>
          <w:szCs w:val="23"/>
          <w:lang w:val="es-ES"/>
        </w:rPr>
        <w:t>Ambas especies están clasificadas como «En peligro» a escala internacional por la UICN. Al estar incluidos en</w:t>
      </w:r>
      <w:r w:rsidRPr="006C77B4">
        <w:rPr>
          <w:rFonts w:ascii="Calibri" w:hAnsi="Calibri" w:cs="Calibri"/>
          <w:spacing w:val="-6"/>
          <w:sz w:val="23"/>
          <w:szCs w:val="23"/>
          <w:lang w:val="es-ES"/>
        </w:rPr>
        <w:t xml:space="preserve"> el </w:t>
      </w:r>
      <w:r w:rsidRPr="006C77B4">
        <w:rPr>
          <w:rFonts w:ascii="Calibri" w:hAnsi="Calibri" w:cs="Calibri"/>
          <w:spacing w:val="-6"/>
          <w:sz w:val="23"/>
          <w:szCs w:val="23"/>
          <w:lang w:val="es-ES"/>
        </w:rPr>
        <w:lastRenderedPageBreak/>
        <w:t>Apéndice II de la Convención sobre el Comercio Internacional de Especies Amenazadas (CITES), las Partes deben demostrar que las exportaciones de marrajos proceden de pesquerías legales y sostenibles</w:t>
      </w:r>
      <w:r w:rsidR="00E26F5F">
        <w:rPr>
          <w:rFonts w:ascii="Calibri" w:hAnsi="Calibri" w:cs="Calibri"/>
          <w:spacing w:val="-6"/>
          <w:sz w:val="23"/>
          <w:szCs w:val="23"/>
          <w:lang w:val="es-ES"/>
        </w:rPr>
        <w:t>.</w:t>
      </w:r>
    </w:p>
    <w:p w14:paraId="612026B0" w14:textId="436367B6" w:rsidR="008714E9" w:rsidRDefault="008714E9" w:rsidP="00742341">
      <w:pPr>
        <w:widowControl w:val="0"/>
        <w:autoSpaceDE w:val="0"/>
        <w:autoSpaceDN w:val="0"/>
        <w:adjustRightInd w:val="0"/>
        <w:jc w:val="both"/>
        <w:rPr>
          <w:rFonts w:ascii="Calibri" w:hAnsi="Calibri" w:cs="Calibri"/>
          <w:spacing w:val="-6"/>
          <w:sz w:val="23"/>
          <w:szCs w:val="23"/>
        </w:rPr>
      </w:pPr>
    </w:p>
    <w:p w14:paraId="578E80EA" w14:textId="4F2D9B98" w:rsidR="00E26F5F" w:rsidRPr="00E26F5F" w:rsidRDefault="00E26F5F" w:rsidP="00742341">
      <w:pPr>
        <w:widowControl w:val="0"/>
        <w:autoSpaceDE w:val="0"/>
        <w:autoSpaceDN w:val="0"/>
        <w:adjustRightInd w:val="0"/>
        <w:jc w:val="both"/>
        <w:rPr>
          <w:rFonts w:ascii="Calibri" w:hAnsi="Calibri" w:cs="Calibri"/>
          <w:spacing w:val="-6"/>
          <w:sz w:val="23"/>
          <w:szCs w:val="23"/>
          <w:lang w:val="es-ES"/>
        </w:rPr>
      </w:pPr>
      <w:r w:rsidRPr="00E26F5F">
        <w:rPr>
          <w:rFonts w:ascii="Calibri" w:hAnsi="Calibri" w:cs="Calibri"/>
          <w:spacing w:val="-6"/>
          <w:sz w:val="23"/>
          <w:szCs w:val="23"/>
          <w:lang w:val="es-ES"/>
        </w:rPr>
        <w:t xml:space="preserve">«Nos alegramos de que Estados Unidos haya aceptado la prohibición de la pesca de marrajos que aconsejan los científicos y esperamos que esto marque un </w:t>
      </w:r>
      <w:r>
        <w:rPr>
          <w:rFonts w:ascii="Calibri" w:hAnsi="Calibri" w:cs="Calibri"/>
          <w:spacing w:val="-6"/>
          <w:sz w:val="23"/>
          <w:szCs w:val="23"/>
          <w:lang w:val="es-ES"/>
        </w:rPr>
        <w:t>antes y un después</w:t>
      </w:r>
      <w:r w:rsidRPr="00E26F5F">
        <w:rPr>
          <w:rFonts w:ascii="Calibri" w:hAnsi="Calibri" w:cs="Calibri"/>
          <w:spacing w:val="-6"/>
          <w:sz w:val="23"/>
          <w:szCs w:val="23"/>
          <w:lang w:val="es-ES"/>
        </w:rPr>
        <w:t xml:space="preserve"> en </w:t>
      </w:r>
      <w:r>
        <w:rPr>
          <w:rFonts w:ascii="Calibri" w:hAnsi="Calibri" w:cs="Calibri"/>
          <w:spacing w:val="-6"/>
          <w:sz w:val="23"/>
          <w:szCs w:val="23"/>
          <w:lang w:val="es-ES"/>
        </w:rPr>
        <w:t>su acción a favor de la</w:t>
      </w:r>
      <w:r w:rsidRPr="00E26F5F">
        <w:rPr>
          <w:rFonts w:ascii="Calibri" w:hAnsi="Calibri" w:cs="Calibri"/>
          <w:spacing w:val="-6"/>
          <w:sz w:val="23"/>
          <w:szCs w:val="23"/>
          <w:lang w:val="es-ES"/>
        </w:rPr>
        <w:t xml:space="preserve"> conservación de los tiburones</w:t>
      </w:r>
      <w:r>
        <w:rPr>
          <w:rFonts w:ascii="Calibri" w:hAnsi="Calibri" w:cs="Calibri"/>
          <w:spacing w:val="-6"/>
          <w:sz w:val="23"/>
          <w:szCs w:val="23"/>
          <w:lang w:val="es-ES"/>
        </w:rPr>
        <w:t>»</w:t>
      </w:r>
      <w:r w:rsidRPr="00E26F5F">
        <w:rPr>
          <w:rFonts w:ascii="Calibri" w:hAnsi="Calibri" w:cs="Calibri"/>
          <w:spacing w:val="-6"/>
          <w:sz w:val="23"/>
          <w:szCs w:val="23"/>
          <w:lang w:val="es-ES"/>
        </w:rPr>
        <w:t xml:space="preserve">, declaró Sonja Fordham, presidenta de Shark Advocates International. </w:t>
      </w:r>
      <w:r>
        <w:rPr>
          <w:rFonts w:ascii="Calibri" w:hAnsi="Calibri" w:cs="Calibri"/>
          <w:spacing w:val="-6"/>
          <w:sz w:val="23"/>
          <w:szCs w:val="23"/>
          <w:lang w:val="es-ES"/>
        </w:rPr>
        <w:t>«</w:t>
      </w:r>
      <w:r w:rsidRPr="00E26F5F">
        <w:rPr>
          <w:rFonts w:ascii="Calibri" w:hAnsi="Calibri" w:cs="Calibri"/>
          <w:spacing w:val="-6"/>
          <w:sz w:val="23"/>
          <w:szCs w:val="23"/>
          <w:lang w:val="es-ES"/>
        </w:rPr>
        <w:t xml:space="preserve">Ante todos los compromisos y advertencias existentes sobre la grave situación de los marrajos, esta victoria no debería haber resultado tan difícil. </w:t>
      </w:r>
      <w:r>
        <w:rPr>
          <w:rFonts w:ascii="Calibri" w:hAnsi="Calibri" w:cs="Calibri"/>
          <w:spacing w:val="-6"/>
          <w:sz w:val="23"/>
          <w:szCs w:val="23"/>
          <w:lang w:val="es-ES"/>
        </w:rPr>
        <w:t>Bajo el paraguas de ICCAT y la CITES, i</w:t>
      </w:r>
      <w:r w:rsidRPr="00E26F5F">
        <w:rPr>
          <w:rFonts w:ascii="Calibri" w:hAnsi="Calibri" w:cs="Calibri"/>
          <w:spacing w:val="-6"/>
          <w:sz w:val="23"/>
          <w:szCs w:val="23"/>
          <w:lang w:val="es-ES"/>
        </w:rPr>
        <w:t xml:space="preserve">nstamos a todas las Partes a adaptar </w:t>
      </w:r>
      <w:r>
        <w:rPr>
          <w:rFonts w:ascii="Calibri" w:hAnsi="Calibri" w:cs="Calibri"/>
          <w:spacing w:val="-6"/>
          <w:sz w:val="23"/>
          <w:szCs w:val="23"/>
          <w:lang w:val="es-ES"/>
        </w:rPr>
        <w:t>unos compromisos más ambiciosos</w:t>
      </w:r>
      <w:r w:rsidRPr="00E26F5F">
        <w:rPr>
          <w:rFonts w:ascii="Calibri" w:hAnsi="Calibri" w:cs="Calibri"/>
          <w:spacing w:val="-6"/>
          <w:sz w:val="23"/>
          <w:szCs w:val="23"/>
          <w:lang w:val="es-ES"/>
        </w:rPr>
        <w:t xml:space="preserve"> respecto a los marrajos </w:t>
      </w:r>
      <w:r>
        <w:rPr>
          <w:rFonts w:ascii="Calibri" w:hAnsi="Calibri" w:cs="Calibri"/>
          <w:spacing w:val="-6"/>
          <w:sz w:val="23"/>
          <w:szCs w:val="23"/>
          <w:lang w:val="es-ES"/>
        </w:rPr>
        <w:t xml:space="preserve">y a esforzarse </w:t>
      </w:r>
      <w:r w:rsidRPr="00E26F5F">
        <w:rPr>
          <w:rFonts w:ascii="Calibri" w:hAnsi="Calibri" w:cs="Calibri"/>
          <w:spacing w:val="-6"/>
          <w:sz w:val="23"/>
          <w:szCs w:val="23"/>
          <w:lang w:val="es-ES"/>
        </w:rPr>
        <w:t>por aumentar</w:t>
      </w:r>
      <w:r>
        <w:rPr>
          <w:rFonts w:ascii="Calibri" w:hAnsi="Calibri" w:cs="Calibri"/>
          <w:spacing w:val="-6"/>
          <w:sz w:val="23"/>
          <w:szCs w:val="23"/>
          <w:lang w:val="es-ES"/>
        </w:rPr>
        <w:t xml:space="preserve"> y no </w:t>
      </w:r>
      <w:r w:rsidRPr="00E26F5F">
        <w:rPr>
          <w:rFonts w:ascii="Calibri" w:hAnsi="Calibri" w:cs="Calibri"/>
          <w:spacing w:val="-6"/>
          <w:sz w:val="23"/>
          <w:szCs w:val="23"/>
          <w:lang w:val="es-ES"/>
        </w:rPr>
        <w:t>relajar este crucial esfuerzo de recuperación</w:t>
      </w:r>
      <w:r>
        <w:rPr>
          <w:rFonts w:ascii="Calibri" w:hAnsi="Calibri" w:cs="Calibri"/>
          <w:spacing w:val="-6"/>
          <w:sz w:val="23"/>
          <w:szCs w:val="23"/>
          <w:lang w:val="es-ES"/>
        </w:rPr>
        <w:t>».</w:t>
      </w:r>
    </w:p>
    <w:p w14:paraId="0F6A4F77" w14:textId="4F8DD0E9" w:rsidR="00E26F5F" w:rsidRDefault="00E26F5F" w:rsidP="00AB69C6">
      <w:pPr>
        <w:jc w:val="both"/>
        <w:rPr>
          <w:rFonts w:ascii="Calibri" w:hAnsi="Calibri" w:cs="Calibri"/>
          <w:spacing w:val="-6"/>
          <w:sz w:val="23"/>
          <w:szCs w:val="23"/>
        </w:rPr>
      </w:pPr>
    </w:p>
    <w:p w14:paraId="0E946ABE" w14:textId="0613F7BE" w:rsidR="00E26F5F" w:rsidRPr="00E26F5F" w:rsidRDefault="00E26F5F" w:rsidP="00AB69C6">
      <w:pPr>
        <w:jc w:val="both"/>
        <w:rPr>
          <w:rFonts w:ascii="Calibri" w:hAnsi="Calibri" w:cs="Calibri"/>
          <w:spacing w:val="-6"/>
          <w:sz w:val="23"/>
          <w:szCs w:val="23"/>
          <w:lang w:val="es-ES"/>
        </w:rPr>
      </w:pPr>
      <w:r w:rsidRPr="00E26F5F">
        <w:rPr>
          <w:rFonts w:ascii="Calibri" w:hAnsi="Calibri" w:cs="Calibri"/>
          <w:spacing w:val="-6"/>
          <w:sz w:val="23"/>
          <w:szCs w:val="23"/>
          <w:lang w:val="es-ES"/>
        </w:rPr>
        <w:t xml:space="preserve">La nueva medida </w:t>
      </w:r>
      <w:r>
        <w:rPr>
          <w:rFonts w:ascii="Calibri" w:hAnsi="Calibri" w:cs="Calibri"/>
          <w:spacing w:val="-6"/>
          <w:sz w:val="23"/>
          <w:szCs w:val="23"/>
          <w:lang w:val="es-ES"/>
        </w:rPr>
        <w:t>insta</w:t>
      </w:r>
      <w:r w:rsidRPr="00E26F5F">
        <w:rPr>
          <w:rFonts w:ascii="Calibri" w:hAnsi="Calibri" w:cs="Calibri"/>
          <w:spacing w:val="-6"/>
          <w:sz w:val="23"/>
          <w:szCs w:val="23"/>
          <w:lang w:val="es-ES"/>
        </w:rPr>
        <w:t xml:space="preserve"> a los científicos</w:t>
      </w:r>
      <w:r>
        <w:rPr>
          <w:rFonts w:ascii="Calibri" w:hAnsi="Calibri" w:cs="Calibri"/>
          <w:spacing w:val="-6"/>
          <w:sz w:val="23"/>
          <w:szCs w:val="23"/>
          <w:lang w:val="es-ES"/>
        </w:rPr>
        <w:t xml:space="preserve"> a</w:t>
      </w:r>
      <w:r w:rsidRPr="00E26F5F">
        <w:rPr>
          <w:rFonts w:ascii="Calibri" w:hAnsi="Calibri" w:cs="Calibri"/>
          <w:spacing w:val="-6"/>
          <w:sz w:val="23"/>
          <w:szCs w:val="23"/>
          <w:lang w:val="es-ES"/>
        </w:rPr>
        <w:t xml:space="preserve"> que examinen las tendencias de las capturas de marrajos, que siguen sin estar protegidos más allá de las aguas estadounidenses. ICCAT aún no ha abordado el consejo de los científicos de limitar las capturas de marrajo del Atlántico Sur, pero sí ha acordado </w:t>
      </w:r>
      <w:r w:rsidR="00A83496">
        <w:rPr>
          <w:rFonts w:ascii="Calibri" w:hAnsi="Calibri" w:cs="Calibri"/>
          <w:spacing w:val="-6"/>
          <w:sz w:val="23"/>
          <w:szCs w:val="23"/>
          <w:lang w:val="es-ES"/>
        </w:rPr>
        <w:t>dar a conocer</w:t>
      </w:r>
      <w:r w:rsidRPr="00E26F5F">
        <w:rPr>
          <w:rFonts w:ascii="Calibri" w:hAnsi="Calibri" w:cs="Calibri"/>
          <w:spacing w:val="-6"/>
          <w:sz w:val="23"/>
          <w:szCs w:val="23"/>
          <w:lang w:val="es-ES"/>
        </w:rPr>
        <w:t xml:space="preserve"> entre las Partes el límite total de capturas de tintorera del Atlántico Sur [</w:t>
      </w:r>
      <w:r w:rsidRPr="00D225DB">
        <w:rPr>
          <w:rFonts w:ascii="Calibri" w:hAnsi="Calibri" w:cs="Calibri"/>
          <w:spacing w:val="-6"/>
          <w:sz w:val="23"/>
          <w:szCs w:val="23"/>
          <w:highlight w:val="yellow"/>
          <w:lang w:val="es-ES"/>
        </w:rPr>
        <w:t>tan pronto como</w:t>
      </w:r>
      <w:r w:rsidRPr="00E26F5F">
        <w:rPr>
          <w:rFonts w:ascii="Calibri" w:hAnsi="Calibri" w:cs="Calibri"/>
          <w:spacing w:val="-6"/>
          <w:sz w:val="23"/>
          <w:szCs w:val="23"/>
          <w:lang w:val="es-ES"/>
        </w:rPr>
        <w:t>] el</w:t>
      </w:r>
      <w:r w:rsidR="00A83496">
        <w:rPr>
          <w:rFonts w:ascii="Calibri" w:hAnsi="Calibri" w:cs="Calibri"/>
          <w:spacing w:val="-6"/>
          <w:sz w:val="23"/>
          <w:szCs w:val="23"/>
          <w:lang w:val="es-ES"/>
        </w:rPr>
        <w:t xml:space="preserve"> </w:t>
      </w:r>
      <w:r w:rsidRPr="00E26F5F">
        <w:rPr>
          <w:rFonts w:ascii="Calibri" w:hAnsi="Calibri" w:cs="Calibri"/>
          <w:spacing w:val="-6"/>
          <w:sz w:val="23"/>
          <w:szCs w:val="23"/>
          <w:lang w:val="es-ES"/>
        </w:rPr>
        <w:t>año</w:t>
      </w:r>
      <w:r w:rsidR="00A83496">
        <w:rPr>
          <w:rFonts w:ascii="Calibri" w:hAnsi="Calibri" w:cs="Calibri"/>
          <w:spacing w:val="-6"/>
          <w:sz w:val="23"/>
          <w:szCs w:val="23"/>
          <w:lang w:val="es-ES"/>
        </w:rPr>
        <w:t xml:space="preserve"> que viene</w:t>
      </w:r>
      <w:r w:rsidRPr="00E26F5F">
        <w:rPr>
          <w:rFonts w:ascii="Calibri" w:hAnsi="Calibri" w:cs="Calibri"/>
          <w:spacing w:val="-6"/>
          <w:sz w:val="23"/>
          <w:szCs w:val="23"/>
          <w:lang w:val="es-ES"/>
        </w:rPr>
        <w:t xml:space="preserve">. La muy popular propuesta de reforzar la prohibición de cercenamiento de aletas de </w:t>
      </w:r>
      <w:r w:rsidR="00A83496">
        <w:rPr>
          <w:rFonts w:ascii="Calibri" w:hAnsi="Calibri" w:cs="Calibri"/>
          <w:spacing w:val="-6"/>
          <w:sz w:val="23"/>
          <w:szCs w:val="23"/>
          <w:lang w:val="es-ES"/>
        </w:rPr>
        <w:t>ICCAT</w:t>
      </w:r>
      <w:r w:rsidRPr="00E26F5F">
        <w:rPr>
          <w:rFonts w:ascii="Calibri" w:hAnsi="Calibri" w:cs="Calibri"/>
          <w:spacing w:val="-6"/>
          <w:sz w:val="23"/>
          <w:szCs w:val="23"/>
          <w:lang w:val="es-ES"/>
        </w:rPr>
        <w:t xml:space="preserve">, </w:t>
      </w:r>
      <w:r w:rsidR="00A83496">
        <w:rPr>
          <w:rFonts w:ascii="Calibri" w:hAnsi="Calibri" w:cs="Calibri"/>
          <w:spacing w:val="-6"/>
          <w:sz w:val="23"/>
          <w:szCs w:val="23"/>
          <w:lang w:val="es-ES"/>
        </w:rPr>
        <w:t>que pretendía prohibir esta práctica en los propios mares</w:t>
      </w:r>
      <w:r w:rsidRPr="00E26F5F">
        <w:rPr>
          <w:rFonts w:ascii="Calibri" w:hAnsi="Calibri" w:cs="Calibri"/>
          <w:spacing w:val="-6"/>
          <w:sz w:val="23"/>
          <w:szCs w:val="23"/>
          <w:lang w:val="es-ES"/>
        </w:rPr>
        <w:t>, fue bloqueada una vez más por Japón.</w:t>
      </w:r>
    </w:p>
    <w:p w14:paraId="23869B72" w14:textId="77777777" w:rsidR="00AB69C6" w:rsidRDefault="00AB69C6" w:rsidP="00D017EA">
      <w:pPr>
        <w:rPr>
          <w:rFonts w:ascii="Calibri" w:hAnsi="Calibri" w:cs="Calibri"/>
          <w:b/>
          <w:spacing w:val="-6"/>
          <w:sz w:val="23"/>
          <w:szCs w:val="23"/>
        </w:rPr>
      </w:pPr>
    </w:p>
    <w:p w14:paraId="204D9D98" w14:textId="77777777" w:rsidR="00A83496" w:rsidRPr="00A83496" w:rsidRDefault="00A83496" w:rsidP="00A83496">
      <w:pPr>
        <w:jc w:val="both"/>
        <w:rPr>
          <w:rFonts w:ascii="Calibri" w:hAnsi="Calibri" w:cs="Calibri"/>
          <w:spacing w:val="-6"/>
          <w:sz w:val="23"/>
          <w:szCs w:val="23"/>
          <w:lang w:val="es-ES"/>
        </w:rPr>
      </w:pPr>
      <w:r w:rsidRPr="00A83496">
        <w:rPr>
          <w:rFonts w:ascii="Calibri" w:hAnsi="Calibri" w:cs="Calibri"/>
          <w:b/>
          <w:spacing w:val="-6"/>
          <w:sz w:val="23"/>
          <w:szCs w:val="23"/>
          <w:lang w:val="es-ES"/>
        </w:rPr>
        <w:t>Contacto de prensa:</w:t>
      </w:r>
      <w:r w:rsidRPr="00A83496">
        <w:rPr>
          <w:rFonts w:ascii="Calibri" w:hAnsi="Calibri" w:cs="Calibri"/>
          <w:spacing w:val="-6"/>
          <w:sz w:val="23"/>
          <w:szCs w:val="23"/>
          <w:lang w:val="es-ES"/>
        </w:rPr>
        <w:t xml:space="preserve"> Patricia Roy; correo electrónico: </w:t>
      </w:r>
      <w:hyperlink r:id="rId8" w:tgtFrame="_blank" w:history="1">
        <w:r w:rsidRPr="00A83496">
          <w:rPr>
            <w:rFonts w:ascii="Calibri" w:hAnsi="Calibri" w:cs="Calibri"/>
            <w:spacing w:val="-6"/>
            <w:sz w:val="23"/>
            <w:szCs w:val="23"/>
            <w:lang w:val="es-ES"/>
          </w:rPr>
          <w:t>patricia@communicationsinc.co.uk</w:t>
        </w:r>
      </w:hyperlink>
      <w:r w:rsidRPr="00A83496">
        <w:rPr>
          <w:rFonts w:ascii="Calibri" w:hAnsi="Calibri" w:cs="Calibri"/>
          <w:spacing w:val="-6"/>
          <w:sz w:val="23"/>
          <w:szCs w:val="23"/>
          <w:lang w:val="es-ES"/>
        </w:rPr>
        <w:t>, tel.: +34 696 905 907</w:t>
      </w:r>
    </w:p>
    <w:p w14:paraId="1D6F65B9" w14:textId="559E1E22" w:rsidR="00A83496" w:rsidRDefault="00A83496" w:rsidP="00B5344E">
      <w:pPr>
        <w:jc w:val="both"/>
        <w:rPr>
          <w:rFonts w:ascii="Calibri" w:hAnsi="Calibri" w:cs="Calibri"/>
          <w:spacing w:val="-6"/>
          <w:sz w:val="20"/>
          <w:szCs w:val="20"/>
        </w:rPr>
      </w:pPr>
    </w:p>
    <w:p w14:paraId="711B899E" w14:textId="77777777" w:rsidR="00A83496" w:rsidRPr="00592DB5" w:rsidRDefault="00A83496" w:rsidP="00A83496">
      <w:pPr>
        <w:jc w:val="both"/>
        <w:rPr>
          <w:rFonts w:ascii="Calibri" w:hAnsi="Calibri" w:cs="Calibri"/>
          <w:spacing w:val="-6"/>
          <w:sz w:val="20"/>
          <w:szCs w:val="20"/>
          <w:lang w:val="es-ES"/>
        </w:rPr>
      </w:pPr>
      <w:r w:rsidRPr="00592DB5">
        <w:rPr>
          <w:rFonts w:asciiTheme="majorHAnsi" w:hAnsiTheme="majorHAnsi" w:cs="Calibri (Headings)"/>
          <w:b/>
          <w:bCs/>
          <w:sz w:val="20"/>
          <w:szCs w:val="20"/>
          <w:lang w:val="es-ES"/>
        </w:rPr>
        <w:t>Notas para los editores</w:t>
      </w:r>
      <w:r w:rsidRPr="00592DB5">
        <w:rPr>
          <w:rFonts w:asciiTheme="majorHAnsi" w:hAnsiTheme="majorHAnsi" w:cs="Calibri (Headings)"/>
          <w:sz w:val="20"/>
          <w:szCs w:val="20"/>
          <w:lang w:val="es-ES"/>
        </w:rPr>
        <w:t xml:space="preserve">: </w:t>
      </w:r>
      <w:r w:rsidRPr="00592DB5">
        <w:rPr>
          <w:rFonts w:ascii="Calibri" w:hAnsi="Calibri" w:cs="Calibri"/>
          <w:spacing w:val="-6"/>
          <w:sz w:val="20"/>
          <w:szCs w:val="20"/>
          <w:lang w:val="es-ES"/>
        </w:rPr>
        <w:t xml:space="preserve">The Shark Trust es una organización benéfica del Reino Unido que trabaja para salvaguardar el futuro de los tiburones y obtener cambios positivos. Ecology Action Centre fomenta la sostenibilidad de las actividades económicas del mar y la conservación de los recursos marinos en Canadá y en el resto del mundo. Project AWARE es un programa mundial de protección de los océanos liderado por una comunidad de aventureros. Shark Advocates International es un proyecto de The Ocean Foundation destinado a promover políticas basadas en la ciencia para los tiburones y las rayas. Estos grupos, en colaboración con el Shark Conservation Fund, formaron la </w:t>
      </w:r>
      <w:hyperlink r:id="rId9" w:history="1">
        <w:r w:rsidRPr="00592DB5">
          <w:rPr>
            <w:rStyle w:val="Hyperlink"/>
            <w:rFonts w:ascii="Calibri" w:hAnsi="Calibri" w:cs="Calibri"/>
            <w:spacing w:val="-6"/>
            <w:sz w:val="20"/>
            <w:szCs w:val="20"/>
            <w:lang w:val="es-ES"/>
          </w:rPr>
          <w:t>Shark League</w:t>
        </w:r>
      </w:hyperlink>
      <w:r w:rsidRPr="00592DB5">
        <w:rPr>
          <w:rFonts w:ascii="Calibri" w:hAnsi="Calibri" w:cs="Calibri"/>
          <w:spacing w:val="-6"/>
          <w:sz w:val="20"/>
          <w:szCs w:val="20"/>
          <w:lang w:val="es-ES"/>
        </w:rPr>
        <w:t xml:space="preserve"> del Atlántico y el Mediterráneo para promover políticas regionales eficaces de conservación de los tiburones y las rayas.</w:t>
      </w:r>
    </w:p>
    <w:p w14:paraId="51CD2902" w14:textId="46AB0BCA" w:rsidR="00A83496" w:rsidRDefault="00A83496" w:rsidP="00B5344E">
      <w:pPr>
        <w:jc w:val="both"/>
        <w:rPr>
          <w:rFonts w:ascii="Calibri" w:hAnsi="Calibri" w:cs="Calibri"/>
          <w:spacing w:val="-6"/>
          <w:sz w:val="20"/>
          <w:szCs w:val="20"/>
        </w:rPr>
      </w:pPr>
    </w:p>
    <w:p w14:paraId="2AF02AF6" w14:textId="53C37868" w:rsidR="00A83496" w:rsidRDefault="00A83496" w:rsidP="00B5344E">
      <w:pPr>
        <w:jc w:val="both"/>
        <w:rPr>
          <w:rFonts w:ascii="Calibri" w:hAnsi="Calibri" w:cs="Calibri"/>
          <w:spacing w:val="-6"/>
          <w:sz w:val="20"/>
          <w:szCs w:val="20"/>
          <w:lang w:val="es-ES"/>
        </w:rPr>
      </w:pPr>
      <w:r w:rsidRPr="00A83496">
        <w:rPr>
          <w:rFonts w:ascii="Calibri" w:hAnsi="Calibri" w:cs="Calibri"/>
          <w:spacing w:val="-6"/>
          <w:sz w:val="20"/>
          <w:szCs w:val="20"/>
          <w:lang w:val="es-ES"/>
        </w:rPr>
        <w:t>La nueva medida de ICCAT prohíbe que los pescadores retengan a bordo, transborden y desembarquen (total o parcialmente) marrajos del Atlántico Norte capturados en asociación con las pesquerías de ICCAT en 2022 y 2023, a modo de primer paso para la recuperación de las poblaciones. El acuerdo incluye una complicada fórmula para utilizar los datos de mortalidad provisional a fin de determinar si se puede permitir la retención limitada en algunas pesquerías en un futuro próximo.</w:t>
      </w:r>
    </w:p>
    <w:p w14:paraId="0CEF1316" w14:textId="4ABBFCA5" w:rsidR="00424E5B" w:rsidRDefault="00424E5B" w:rsidP="00B5344E">
      <w:pPr>
        <w:jc w:val="both"/>
        <w:rPr>
          <w:rFonts w:ascii="Calibri" w:hAnsi="Calibri" w:cs="Calibri"/>
          <w:spacing w:val="-6"/>
          <w:sz w:val="20"/>
          <w:szCs w:val="20"/>
          <w:lang w:val="es-ES"/>
        </w:rPr>
      </w:pPr>
    </w:p>
    <w:p w14:paraId="28D834FD" w14:textId="32A2615C" w:rsidR="00424E5B" w:rsidRPr="00A83496" w:rsidRDefault="00424E5B" w:rsidP="00B5344E">
      <w:pPr>
        <w:jc w:val="both"/>
        <w:rPr>
          <w:rFonts w:ascii="Calibri" w:hAnsi="Calibri" w:cs="Calibri"/>
          <w:spacing w:val="-6"/>
          <w:sz w:val="20"/>
          <w:szCs w:val="20"/>
          <w:lang w:val="es-ES"/>
        </w:rPr>
      </w:pPr>
      <w:r w:rsidRPr="00424E5B">
        <w:rPr>
          <w:rFonts w:ascii="Calibri" w:hAnsi="Calibri" w:cs="Calibri"/>
          <w:spacing w:val="-6"/>
          <w:sz w:val="20"/>
          <w:szCs w:val="20"/>
          <w:lang w:val="es-ES"/>
        </w:rPr>
        <w:t>La nueva medida también indica a los científicos de ICCAT que proporcionen más asesoramiento sobre las acciones que podrían reducir la captura incidental de marrajo y la mortalidad asociada.</w:t>
      </w:r>
    </w:p>
    <w:p w14:paraId="69C95B6D" w14:textId="6CC54674" w:rsidR="00A83496" w:rsidRDefault="00A83496" w:rsidP="00B5344E">
      <w:pPr>
        <w:jc w:val="both"/>
        <w:rPr>
          <w:rFonts w:ascii="Calibri" w:hAnsi="Calibri" w:cs="Calibri"/>
          <w:spacing w:val="-6"/>
          <w:sz w:val="20"/>
          <w:szCs w:val="20"/>
        </w:rPr>
      </w:pPr>
    </w:p>
    <w:p w14:paraId="672CB285" w14:textId="1BF02E0F" w:rsidR="00A83496" w:rsidRPr="00A83496" w:rsidRDefault="00A83496" w:rsidP="00B5344E">
      <w:pPr>
        <w:jc w:val="both"/>
        <w:rPr>
          <w:rFonts w:ascii="Calibri" w:hAnsi="Calibri" w:cs="Calibri"/>
          <w:spacing w:val="-6"/>
          <w:sz w:val="20"/>
          <w:szCs w:val="20"/>
          <w:lang w:val="es-ES"/>
        </w:rPr>
      </w:pPr>
      <w:r w:rsidRPr="00A83496">
        <w:rPr>
          <w:rFonts w:ascii="Calibri" w:hAnsi="Calibri" w:cs="Calibri"/>
          <w:spacing w:val="-6"/>
          <w:sz w:val="20"/>
          <w:szCs w:val="20"/>
          <w:lang w:val="es-ES"/>
        </w:rPr>
        <w:t>La página web «</w:t>
      </w:r>
      <w:hyperlink r:id="rId10" w:history="1">
        <w:r w:rsidRPr="00A83496">
          <w:rPr>
            <w:rStyle w:val="Hyperlink"/>
            <w:rFonts w:ascii="Calibri" w:hAnsi="Calibri" w:cs="Calibri"/>
            <w:spacing w:val="-6"/>
            <w:sz w:val="20"/>
            <w:szCs w:val="20"/>
            <w:lang w:val="es-ES"/>
          </w:rPr>
          <w:t>Voices for Makos</w:t>
        </w:r>
      </w:hyperlink>
      <w:r w:rsidRPr="00A83496">
        <w:rPr>
          <w:rFonts w:ascii="Calibri" w:hAnsi="Calibri" w:cs="Calibri"/>
          <w:spacing w:val="-6"/>
          <w:sz w:val="20"/>
          <w:szCs w:val="20"/>
          <w:lang w:val="es-ES"/>
        </w:rPr>
        <w:t xml:space="preserve">» de la Shark League muestra </w:t>
      </w:r>
      <w:r>
        <w:rPr>
          <w:rFonts w:ascii="Calibri" w:hAnsi="Calibri" w:cs="Calibri"/>
          <w:spacing w:val="-6"/>
          <w:sz w:val="20"/>
          <w:szCs w:val="20"/>
          <w:lang w:val="es-ES"/>
        </w:rPr>
        <w:t>el gran</w:t>
      </w:r>
      <w:r w:rsidRPr="00A83496">
        <w:rPr>
          <w:rFonts w:ascii="Calibri" w:hAnsi="Calibri" w:cs="Calibri"/>
          <w:spacing w:val="-6"/>
          <w:sz w:val="20"/>
          <w:szCs w:val="20"/>
          <w:lang w:val="es-ES"/>
        </w:rPr>
        <w:t xml:space="preserve"> apoyo</w:t>
      </w:r>
      <w:r>
        <w:rPr>
          <w:rFonts w:ascii="Calibri" w:hAnsi="Calibri" w:cs="Calibri"/>
          <w:spacing w:val="-6"/>
          <w:sz w:val="20"/>
          <w:szCs w:val="20"/>
          <w:lang w:val="es-ES"/>
        </w:rPr>
        <w:t xml:space="preserve"> del</w:t>
      </w:r>
      <w:r w:rsidRPr="00A83496">
        <w:rPr>
          <w:rFonts w:ascii="Calibri" w:hAnsi="Calibri" w:cs="Calibri"/>
          <w:spacing w:val="-6"/>
          <w:sz w:val="20"/>
          <w:szCs w:val="20"/>
          <w:lang w:val="es-ES"/>
        </w:rPr>
        <w:t xml:space="preserve"> público a la protección de los marrajos del Atlántico Norte por parte de </w:t>
      </w:r>
      <w:r>
        <w:rPr>
          <w:rFonts w:ascii="Calibri" w:hAnsi="Calibri" w:cs="Calibri"/>
          <w:spacing w:val="-6"/>
          <w:sz w:val="20"/>
          <w:szCs w:val="20"/>
          <w:lang w:val="es-ES"/>
        </w:rPr>
        <w:t>ICCAT.</w:t>
      </w:r>
    </w:p>
    <w:p w14:paraId="37A05789" w14:textId="59FE4A1D" w:rsidR="00EF567A" w:rsidRPr="00D225DB" w:rsidRDefault="00A83496" w:rsidP="00D225DB">
      <w:pPr>
        <w:spacing w:before="100" w:beforeAutospacing="1" w:after="100" w:afterAutospacing="1"/>
        <w:jc w:val="both"/>
        <w:rPr>
          <w:rFonts w:ascii="Calibri" w:hAnsi="Calibri" w:cs="Calibri"/>
          <w:spacing w:val="-6"/>
          <w:sz w:val="20"/>
          <w:szCs w:val="20"/>
          <w:lang w:val="es-ES" w:eastAsia="en-GB"/>
        </w:rPr>
      </w:pPr>
      <w:r w:rsidRPr="00592DB5">
        <w:rPr>
          <w:rFonts w:asciiTheme="majorHAnsi" w:hAnsiTheme="majorHAnsi" w:cstheme="majorHAnsi"/>
          <w:sz w:val="20"/>
          <w:szCs w:val="20"/>
          <w:lang w:val="es-ES" w:eastAsia="en-GB"/>
        </w:rPr>
        <w:t>ICCAT es responsable de la conservación de los atunes y las especies afines en el Océano Atlántico y los mares adyacentes</w:t>
      </w:r>
      <w:r w:rsidRPr="00592DB5">
        <w:rPr>
          <w:rFonts w:ascii="Calibri" w:hAnsi="Calibri" w:cs="Calibri"/>
          <w:spacing w:val="-6"/>
          <w:sz w:val="20"/>
          <w:szCs w:val="20"/>
          <w:lang w:val="es-ES"/>
        </w:rPr>
        <w:t xml:space="preserve">. </w:t>
      </w:r>
      <w:r>
        <w:rPr>
          <w:rFonts w:ascii="Calibri" w:hAnsi="Calibri" w:cs="Calibri"/>
          <w:spacing w:val="-6"/>
          <w:sz w:val="20"/>
          <w:szCs w:val="20"/>
          <w:lang w:val="es-ES"/>
        </w:rPr>
        <w:t>ICCAT</w:t>
      </w:r>
      <w:r w:rsidRPr="00A83496">
        <w:rPr>
          <w:rFonts w:ascii="Calibri" w:hAnsi="Calibri" w:cs="Calibri"/>
          <w:spacing w:val="-6"/>
          <w:sz w:val="20"/>
          <w:szCs w:val="20"/>
          <w:lang w:val="es-ES"/>
        </w:rPr>
        <w:t xml:space="preserve"> cuenta con 52 Partes Contratantes, incluida la Unión Europea</w:t>
      </w:r>
      <w:r>
        <w:rPr>
          <w:rFonts w:ascii="Calibri" w:hAnsi="Calibri" w:cs="Calibri"/>
          <w:spacing w:val="-6"/>
          <w:sz w:val="20"/>
          <w:szCs w:val="20"/>
          <w:lang w:val="es-ES"/>
        </w:rPr>
        <w:t>.</w:t>
      </w:r>
      <w:r w:rsidRPr="00A83496">
        <w:rPr>
          <w:rFonts w:ascii="Calibri" w:hAnsi="Calibri" w:cs="Calibri"/>
          <w:spacing w:val="-6"/>
          <w:sz w:val="20"/>
          <w:szCs w:val="20"/>
          <w:lang w:val="es-ES"/>
        </w:rPr>
        <w:t xml:space="preserve"> </w:t>
      </w:r>
      <w:r w:rsidRPr="00592DB5">
        <w:rPr>
          <w:rFonts w:ascii="Calibri" w:hAnsi="Calibri" w:cs="Calibri"/>
          <w:spacing w:val="-6"/>
          <w:sz w:val="20"/>
          <w:szCs w:val="20"/>
          <w:lang w:val="es-ES"/>
        </w:rPr>
        <w:t xml:space="preserve">Los científicos de ICCAT actualizaron el </w:t>
      </w:r>
      <w:hyperlink r:id="rId11" w:history="1">
        <w:r w:rsidRPr="00592DB5">
          <w:rPr>
            <w:rStyle w:val="Hyperlink"/>
            <w:rFonts w:ascii="Calibri" w:hAnsi="Calibri" w:cs="Calibri"/>
            <w:spacing w:val="-6"/>
            <w:sz w:val="20"/>
            <w:szCs w:val="20"/>
            <w:lang w:val="es-ES" w:eastAsia="en-GB"/>
          </w:rPr>
          <w:t>estado de los marrajos del Atlántico</w:t>
        </w:r>
      </w:hyperlink>
      <w:r w:rsidRPr="00592DB5">
        <w:rPr>
          <w:rFonts w:ascii="Calibri" w:hAnsi="Calibri" w:cs="Calibri"/>
          <w:spacing w:val="-6"/>
          <w:sz w:val="20"/>
          <w:szCs w:val="20"/>
          <w:lang w:val="es-ES" w:eastAsia="en-GB"/>
        </w:rPr>
        <w:t xml:space="preserve"> </w:t>
      </w:r>
      <w:r w:rsidRPr="00592DB5">
        <w:rPr>
          <w:rFonts w:ascii="Calibri" w:hAnsi="Calibri" w:cs="Calibri"/>
          <w:spacing w:val="-6"/>
          <w:sz w:val="20"/>
          <w:szCs w:val="20"/>
          <w:lang w:val="es-ES"/>
        </w:rPr>
        <w:t>en 2019.</w:t>
      </w:r>
    </w:p>
    <w:p w14:paraId="309D7FBC" w14:textId="77777777" w:rsidR="00A83496" w:rsidRPr="00592DB5" w:rsidRDefault="00A83496" w:rsidP="00A83496">
      <w:pPr>
        <w:jc w:val="both"/>
        <w:rPr>
          <w:rFonts w:ascii="Calibri" w:eastAsiaTheme="minorEastAsia" w:hAnsi="Calibri" w:cs="Calibri"/>
          <w:color w:val="000000"/>
          <w:spacing w:val="-6"/>
          <w:sz w:val="20"/>
          <w:szCs w:val="20"/>
          <w:lang w:val="es-ES"/>
        </w:rPr>
      </w:pPr>
      <w:r w:rsidRPr="00592DB5">
        <w:rPr>
          <w:rFonts w:ascii="Calibri" w:eastAsiaTheme="minorEastAsia" w:hAnsi="Calibri" w:cs="Calibri"/>
          <w:color w:val="000000"/>
          <w:spacing w:val="-6"/>
          <w:sz w:val="20"/>
          <w:szCs w:val="20"/>
          <w:lang w:val="es-ES"/>
        </w:rPr>
        <w:t>Entre los países que han apoyado la prohibición del marrajo del Atlántico Norte con base científica en los últimos años se encuentran Canadá, Senegal, Gambia, Gabón, Panamá, Liberia, Guatemala, Angola, El Salvador, Egipto, Noruega, Guinea-Bisáu, Uruguay, Japón, China y Taiwán.</w:t>
      </w:r>
    </w:p>
    <w:p w14:paraId="598D15B8" w14:textId="148709DD" w:rsidR="00A83496" w:rsidRDefault="00A83496" w:rsidP="00836534">
      <w:pPr>
        <w:jc w:val="both"/>
        <w:rPr>
          <w:rFonts w:ascii="Calibri" w:hAnsi="Calibri" w:cs="Calibri"/>
          <w:spacing w:val="-6"/>
          <w:sz w:val="20"/>
          <w:szCs w:val="20"/>
        </w:rPr>
      </w:pPr>
    </w:p>
    <w:p w14:paraId="1B922AD8" w14:textId="518265DA" w:rsidR="00A83496" w:rsidRDefault="00A83496" w:rsidP="00836534">
      <w:pPr>
        <w:jc w:val="both"/>
        <w:rPr>
          <w:rFonts w:ascii="Calibri" w:hAnsi="Calibri" w:cs="Calibri"/>
          <w:spacing w:val="-6"/>
          <w:sz w:val="20"/>
          <w:szCs w:val="20"/>
        </w:rPr>
      </w:pPr>
      <w:r w:rsidRPr="00592DB5">
        <w:rPr>
          <w:rFonts w:ascii="Calibri" w:hAnsi="Calibri" w:cs="Calibri"/>
          <w:spacing w:val="-6"/>
          <w:sz w:val="20"/>
          <w:szCs w:val="20"/>
          <w:lang w:val="es-ES" w:bidi="fa-IR"/>
        </w:rPr>
        <w:t>Los países que declararon capturas en 2020 de marrajos del Atlántico Norte (</w:t>
      </w:r>
      <w:r w:rsidRPr="00592DB5">
        <w:rPr>
          <w:rFonts w:ascii="Calibri" w:hAnsi="Calibri" w:cs="Calibri"/>
          <w:i/>
          <w:iCs/>
          <w:spacing w:val="-6"/>
          <w:sz w:val="20"/>
          <w:szCs w:val="20"/>
          <w:lang w:val="es-ES" w:bidi="fa-IR"/>
        </w:rPr>
        <w:t>Isurus oxyrinchus</w:t>
      </w:r>
      <w:r w:rsidRPr="00592DB5">
        <w:rPr>
          <w:rFonts w:ascii="Calibri" w:hAnsi="Calibri" w:cs="Calibri"/>
          <w:spacing w:val="-6"/>
          <w:sz w:val="20"/>
          <w:szCs w:val="20"/>
          <w:lang w:val="es-ES" w:bidi="fa-IR"/>
        </w:rPr>
        <w:t>) son (por orden de magnitud): la UE (España y Portugal), Marruecos, Estados Unidos, Venezuela, México y Trinidad y Tobago.</w:t>
      </w:r>
    </w:p>
    <w:p w14:paraId="426522E9" w14:textId="77777777" w:rsidR="00D225DB" w:rsidRDefault="00A83496" w:rsidP="00D225DB">
      <w:pPr>
        <w:spacing w:before="100" w:beforeAutospacing="1" w:after="100" w:afterAutospacing="1"/>
        <w:jc w:val="both"/>
        <w:rPr>
          <w:rFonts w:ascii="Calibri" w:hAnsi="Calibri" w:cs="Calibri"/>
          <w:spacing w:val="-6"/>
          <w:sz w:val="20"/>
          <w:szCs w:val="20"/>
          <w:lang w:val="es-ES" w:eastAsia="en-GB"/>
        </w:rPr>
      </w:pPr>
      <w:r w:rsidRPr="00592DB5">
        <w:rPr>
          <w:rFonts w:ascii="Calibri" w:hAnsi="Calibri" w:cs="Calibri"/>
          <w:spacing w:val="-6"/>
          <w:sz w:val="20"/>
          <w:szCs w:val="20"/>
          <w:lang w:val="es-ES" w:eastAsia="en-GB"/>
        </w:rPr>
        <w:t>En 2017, ICCAT ordenó que los marrajos del Atlántico Norte subidos vivos a las embarcaciones se liberasen con cuidado, a menos que el país hubiera impuesto un límite al tamaño mínimo (sobre la base de la longitud de madurez) o una prohibición de descarte (que impida el lucro). No obstante, las embarcaciones de menos de 12 metros de eslora pueden desembarcar (y vender) marrajos muertos y, las de mayor eslora, bajo ciertas condiciones de control de las capturas y notificación de datos. Los científicos no tardaron en manifestar que la medida resultaba inadecuada para acabar con la sobrepesca, y menos aún para regenerar la población.</w:t>
      </w:r>
      <w:r>
        <w:rPr>
          <w:rFonts w:ascii="Calibri" w:hAnsi="Calibri" w:cs="Calibri"/>
          <w:spacing w:val="-6"/>
          <w:sz w:val="20"/>
          <w:szCs w:val="20"/>
          <w:lang w:val="es-ES" w:eastAsia="en-GB"/>
        </w:rPr>
        <w:t xml:space="preserve"> </w:t>
      </w:r>
      <w:r w:rsidRPr="00A83496">
        <w:rPr>
          <w:rFonts w:ascii="Calibri" w:hAnsi="Calibri" w:cs="Calibri"/>
          <w:spacing w:val="-6"/>
          <w:sz w:val="20"/>
          <w:szCs w:val="20"/>
          <w:lang w:val="es-ES" w:eastAsia="en-GB"/>
        </w:rPr>
        <w:t xml:space="preserve">Desde entonces, ICCAT ha debatido </w:t>
      </w:r>
      <w:r>
        <w:rPr>
          <w:rFonts w:ascii="Calibri" w:hAnsi="Calibri" w:cs="Calibri"/>
          <w:spacing w:val="-6"/>
          <w:sz w:val="20"/>
          <w:szCs w:val="20"/>
          <w:lang w:val="es-ES" w:eastAsia="en-GB"/>
        </w:rPr>
        <w:t xml:space="preserve">sobre </w:t>
      </w:r>
      <w:r w:rsidRPr="00A83496">
        <w:rPr>
          <w:rFonts w:ascii="Calibri" w:hAnsi="Calibri" w:cs="Calibri"/>
          <w:spacing w:val="-6"/>
          <w:sz w:val="20"/>
          <w:szCs w:val="20"/>
          <w:lang w:val="es-ES" w:eastAsia="en-GB"/>
        </w:rPr>
        <w:t>cómo reemplazarla</w:t>
      </w:r>
      <w:r w:rsidR="00D225DB">
        <w:rPr>
          <w:rFonts w:ascii="Calibri" w:hAnsi="Calibri" w:cs="Calibri"/>
          <w:spacing w:val="-6"/>
          <w:sz w:val="20"/>
          <w:szCs w:val="20"/>
          <w:lang w:val="es-ES" w:eastAsia="en-GB"/>
        </w:rPr>
        <w:t>.</w:t>
      </w:r>
    </w:p>
    <w:p w14:paraId="728A0E9C" w14:textId="1FEC2C1D" w:rsidR="00D225DB" w:rsidRPr="00592DB5" w:rsidRDefault="00D225DB" w:rsidP="00D225DB">
      <w:pPr>
        <w:spacing w:before="100" w:beforeAutospacing="1" w:after="100" w:afterAutospacing="1"/>
        <w:jc w:val="both"/>
        <w:rPr>
          <w:rFonts w:ascii="Calibri" w:hAnsi="Calibri" w:cs="Calibri"/>
          <w:spacing w:val="-6"/>
          <w:sz w:val="20"/>
          <w:szCs w:val="20"/>
          <w:lang w:val="es-ES" w:eastAsia="en-GB"/>
        </w:rPr>
      </w:pPr>
      <w:r w:rsidRPr="00592DB5">
        <w:rPr>
          <w:rFonts w:ascii="Calibri" w:hAnsi="Calibri" w:cs="Calibri"/>
          <w:spacing w:val="-6"/>
          <w:sz w:val="20"/>
          <w:szCs w:val="20"/>
          <w:lang w:val="es-ES" w:eastAsia="en-GB"/>
        </w:rPr>
        <w:lastRenderedPageBreak/>
        <w:t xml:space="preserve">El marrajo dientuso </w:t>
      </w:r>
      <w:r>
        <w:rPr>
          <w:rFonts w:ascii="Calibri" w:hAnsi="Calibri" w:cs="Calibri"/>
          <w:spacing w:val="-6"/>
          <w:sz w:val="20"/>
          <w:szCs w:val="20"/>
          <w:lang w:val="es-ES" w:eastAsia="en-GB"/>
        </w:rPr>
        <w:t>y el marrajo carite se clasificaron como</w:t>
      </w:r>
      <w:r w:rsidRPr="00592DB5">
        <w:rPr>
          <w:rFonts w:ascii="Calibri" w:hAnsi="Calibri" w:cs="Calibri"/>
          <w:spacing w:val="-6"/>
          <w:sz w:val="20"/>
          <w:szCs w:val="20"/>
          <w:lang w:val="es-ES" w:eastAsia="en-GB"/>
        </w:rPr>
        <w:t xml:space="preserve"> </w:t>
      </w:r>
      <w:r>
        <w:rPr>
          <w:rFonts w:ascii="Calibri" w:hAnsi="Calibri" w:cs="Calibri"/>
          <w:spacing w:val="-6"/>
          <w:sz w:val="20"/>
          <w:szCs w:val="20"/>
          <w:lang w:val="es-ES" w:eastAsia="en-GB"/>
        </w:rPr>
        <w:t>muy</w:t>
      </w:r>
      <w:r w:rsidRPr="00592DB5">
        <w:rPr>
          <w:rFonts w:ascii="Calibri" w:hAnsi="Calibri" w:cs="Calibri"/>
          <w:spacing w:val="-6"/>
          <w:sz w:val="20"/>
          <w:szCs w:val="20"/>
          <w:lang w:val="es-ES" w:eastAsia="en-GB"/>
        </w:rPr>
        <w:t xml:space="preserve"> </w:t>
      </w:r>
      <w:r>
        <w:rPr>
          <w:rFonts w:ascii="Calibri" w:hAnsi="Calibri" w:cs="Calibri"/>
          <w:spacing w:val="-6"/>
          <w:sz w:val="20"/>
          <w:szCs w:val="20"/>
          <w:lang w:val="es-ES" w:eastAsia="en-GB"/>
        </w:rPr>
        <w:t>vulnerables</w:t>
      </w:r>
      <w:r w:rsidRPr="00592DB5">
        <w:rPr>
          <w:rFonts w:ascii="Calibri" w:hAnsi="Calibri" w:cs="Calibri"/>
          <w:spacing w:val="-6"/>
          <w:sz w:val="20"/>
          <w:szCs w:val="20"/>
          <w:lang w:val="es-ES" w:eastAsia="en-GB"/>
        </w:rPr>
        <w:t xml:space="preserve"> a</w:t>
      </w:r>
      <w:r>
        <w:rPr>
          <w:rFonts w:ascii="Calibri" w:hAnsi="Calibri" w:cs="Calibri"/>
          <w:spacing w:val="-6"/>
          <w:sz w:val="20"/>
          <w:szCs w:val="20"/>
          <w:lang w:val="es-ES" w:eastAsia="en-GB"/>
        </w:rPr>
        <w:t>nte</w:t>
      </w:r>
      <w:r w:rsidRPr="00592DB5">
        <w:rPr>
          <w:rFonts w:ascii="Calibri" w:hAnsi="Calibri" w:cs="Calibri"/>
          <w:spacing w:val="-6"/>
          <w:sz w:val="20"/>
          <w:szCs w:val="20"/>
          <w:lang w:val="es-ES" w:eastAsia="en-GB"/>
        </w:rPr>
        <w:t xml:space="preserve"> las pesquerías de ICCAT</w:t>
      </w:r>
      <w:r>
        <w:rPr>
          <w:rFonts w:ascii="Calibri" w:hAnsi="Calibri" w:cs="Calibri"/>
          <w:spacing w:val="-6"/>
          <w:sz w:val="20"/>
          <w:szCs w:val="20"/>
          <w:lang w:val="es-ES" w:eastAsia="en-GB"/>
        </w:rPr>
        <w:t xml:space="preserve"> en una </w:t>
      </w:r>
      <w:hyperlink r:id="rId12" w:history="1">
        <w:r w:rsidRPr="00592DB5">
          <w:rPr>
            <w:rStyle w:val="Hyperlink"/>
            <w:rFonts w:ascii="Calibri" w:hAnsi="Calibri" w:cs="Calibri"/>
            <w:spacing w:val="-6"/>
            <w:sz w:val="20"/>
            <w:szCs w:val="20"/>
            <w:lang w:val="es-ES" w:eastAsia="en-GB"/>
          </w:rPr>
          <w:t>evaluación de riesgo ecológico</w:t>
        </w:r>
      </w:hyperlink>
      <w:r w:rsidRPr="00592DB5">
        <w:rPr>
          <w:rFonts w:ascii="Calibri" w:hAnsi="Calibri" w:cs="Calibri"/>
          <w:spacing w:val="-6"/>
          <w:sz w:val="20"/>
          <w:szCs w:val="20"/>
          <w:lang w:val="es-ES" w:eastAsia="en-GB"/>
        </w:rPr>
        <w:t xml:space="preserve"> </w:t>
      </w:r>
      <w:r>
        <w:rPr>
          <w:rFonts w:ascii="Calibri" w:hAnsi="Calibri" w:cs="Calibri"/>
          <w:spacing w:val="-6"/>
          <w:sz w:val="20"/>
          <w:szCs w:val="20"/>
          <w:lang w:val="es-ES" w:eastAsia="en-GB"/>
        </w:rPr>
        <w:t>de 2012 sobre las poblaciones de 20 tiburones pelágicos</w:t>
      </w:r>
      <w:r w:rsidRPr="00592DB5">
        <w:rPr>
          <w:rFonts w:ascii="Calibri" w:hAnsi="Calibri" w:cs="Calibri"/>
          <w:spacing w:val="-6"/>
          <w:sz w:val="20"/>
          <w:szCs w:val="20"/>
          <w:lang w:val="es-ES" w:eastAsia="en-GB"/>
        </w:rPr>
        <w:t>.</w:t>
      </w:r>
    </w:p>
    <w:p w14:paraId="1E2F90E1" w14:textId="3C0D8CFA" w:rsidR="00481625" w:rsidRPr="008C5683" w:rsidRDefault="00481625" w:rsidP="00D225DB">
      <w:pPr>
        <w:tabs>
          <w:tab w:val="left" w:pos="1724"/>
        </w:tabs>
        <w:spacing w:before="100" w:beforeAutospacing="1" w:after="100" w:afterAutospacing="1"/>
        <w:jc w:val="both"/>
        <w:rPr>
          <w:rFonts w:ascii="Calibri" w:hAnsi="Calibri" w:cs="Calibri"/>
          <w:spacing w:val="-6"/>
          <w:sz w:val="20"/>
          <w:szCs w:val="20"/>
          <w:lang w:eastAsia="en-GB"/>
        </w:rPr>
      </w:pPr>
    </w:p>
    <w:sectPr w:rsidR="00481625" w:rsidRPr="008C5683" w:rsidSect="00C76907">
      <w:pgSz w:w="12240" w:h="15840"/>
      <w:pgMar w:top="864" w:right="864" w:bottom="79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F1EDB" w14:textId="77777777" w:rsidR="00DC5FDF" w:rsidRDefault="00DC5FDF" w:rsidP="00016D3F">
      <w:r>
        <w:separator/>
      </w:r>
    </w:p>
  </w:endnote>
  <w:endnote w:type="continuationSeparator" w:id="0">
    <w:p w14:paraId="1ECE0E15" w14:textId="77777777" w:rsidR="00DC5FDF" w:rsidRDefault="00DC5FDF" w:rsidP="0001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venir">
    <w:altName w:val="Avenir"/>
    <w:panose1 w:val="02000503020000020003"/>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Headings)">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0AC3A" w14:textId="77777777" w:rsidR="00DC5FDF" w:rsidRDefault="00DC5FDF" w:rsidP="00016D3F">
      <w:r>
        <w:separator/>
      </w:r>
    </w:p>
  </w:footnote>
  <w:footnote w:type="continuationSeparator" w:id="0">
    <w:p w14:paraId="284A6EF9" w14:textId="77777777" w:rsidR="00DC5FDF" w:rsidRDefault="00DC5FDF" w:rsidP="00016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74F57"/>
    <w:multiLevelType w:val="multilevel"/>
    <w:tmpl w:val="0A62CA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92421F"/>
    <w:multiLevelType w:val="hybridMultilevel"/>
    <w:tmpl w:val="C876E5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036197"/>
    <w:multiLevelType w:val="hybridMultilevel"/>
    <w:tmpl w:val="4894E63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CD3F7A"/>
    <w:multiLevelType w:val="hybridMultilevel"/>
    <w:tmpl w:val="F1E688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57D41"/>
    <w:multiLevelType w:val="hybridMultilevel"/>
    <w:tmpl w:val="08F02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2F"/>
    <w:rsid w:val="00000979"/>
    <w:rsid w:val="00003CEE"/>
    <w:rsid w:val="0000405A"/>
    <w:rsid w:val="0001127E"/>
    <w:rsid w:val="0001350B"/>
    <w:rsid w:val="00015398"/>
    <w:rsid w:val="00016D3F"/>
    <w:rsid w:val="00027E63"/>
    <w:rsid w:val="0004082D"/>
    <w:rsid w:val="00040E06"/>
    <w:rsid w:val="000443CD"/>
    <w:rsid w:val="000465E7"/>
    <w:rsid w:val="00050320"/>
    <w:rsid w:val="00052516"/>
    <w:rsid w:val="00053F2F"/>
    <w:rsid w:val="000557FF"/>
    <w:rsid w:val="000665DB"/>
    <w:rsid w:val="0006681C"/>
    <w:rsid w:val="00067CC9"/>
    <w:rsid w:val="00074547"/>
    <w:rsid w:val="000756A6"/>
    <w:rsid w:val="00077873"/>
    <w:rsid w:val="000820BB"/>
    <w:rsid w:val="00085244"/>
    <w:rsid w:val="00086B8B"/>
    <w:rsid w:val="0008700B"/>
    <w:rsid w:val="0009758B"/>
    <w:rsid w:val="000A56DA"/>
    <w:rsid w:val="000D44D4"/>
    <w:rsid w:val="001043AA"/>
    <w:rsid w:val="00104443"/>
    <w:rsid w:val="001126B8"/>
    <w:rsid w:val="00115440"/>
    <w:rsid w:val="00116A15"/>
    <w:rsid w:val="00127ADD"/>
    <w:rsid w:val="001301CD"/>
    <w:rsid w:val="00131369"/>
    <w:rsid w:val="001339B3"/>
    <w:rsid w:val="0014106F"/>
    <w:rsid w:val="001443F3"/>
    <w:rsid w:val="00144795"/>
    <w:rsid w:val="00150277"/>
    <w:rsid w:val="00156979"/>
    <w:rsid w:val="00161C36"/>
    <w:rsid w:val="0017149D"/>
    <w:rsid w:val="001740C6"/>
    <w:rsid w:val="0018764D"/>
    <w:rsid w:val="001938C3"/>
    <w:rsid w:val="00195B42"/>
    <w:rsid w:val="00196626"/>
    <w:rsid w:val="0019708B"/>
    <w:rsid w:val="001A1FCF"/>
    <w:rsid w:val="001A5E94"/>
    <w:rsid w:val="001A5F0B"/>
    <w:rsid w:val="001A7BCC"/>
    <w:rsid w:val="001C22C5"/>
    <w:rsid w:val="001D1A95"/>
    <w:rsid w:val="001E742F"/>
    <w:rsid w:val="001F1C0A"/>
    <w:rsid w:val="001F3AE8"/>
    <w:rsid w:val="001F41F4"/>
    <w:rsid w:val="001F6CEB"/>
    <w:rsid w:val="00204F77"/>
    <w:rsid w:val="00205EB1"/>
    <w:rsid w:val="002234F5"/>
    <w:rsid w:val="00250288"/>
    <w:rsid w:val="00251568"/>
    <w:rsid w:val="002534D8"/>
    <w:rsid w:val="00255037"/>
    <w:rsid w:val="00257192"/>
    <w:rsid w:val="00284969"/>
    <w:rsid w:val="00292310"/>
    <w:rsid w:val="00296E33"/>
    <w:rsid w:val="002A216F"/>
    <w:rsid w:val="002A310F"/>
    <w:rsid w:val="002A4CBA"/>
    <w:rsid w:val="002A6F5E"/>
    <w:rsid w:val="002C32C9"/>
    <w:rsid w:val="002D577C"/>
    <w:rsid w:val="002E1772"/>
    <w:rsid w:val="002F3F95"/>
    <w:rsid w:val="002F6C60"/>
    <w:rsid w:val="00301E44"/>
    <w:rsid w:val="00316F98"/>
    <w:rsid w:val="00333428"/>
    <w:rsid w:val="003351F3"/>
    <w:rsid w:val="00340FFF"/>
    <w:rsid w:val="003649DD"/>
    <w:rsid w:val="003666D6"/>
    <w:rsid w:val="003669C1"/>
    <w:rsid w:val="00372F4F"/>
    <w:rsid w:val="00381CA6"/>
    <w:rsid w:val="003875E7"/>
    <w:rsid w:val="003A30B2"/>
    <w:rsid w:val="003A41D5"/>
    <w:rsid w:val="003A5639"/>
    <w:rsid w:val="003B7132"/>
    <w:rsid w:val="003C3802"/>
    <w:rsid w:val="003C3F79"/>
    <w:rsid w:val="003D0FFD"/>
    <w:rsid w:val="003E08A7"/>
    <w:rsid w:val="003E1CDA"/>
    <w:rsid w:val="003E4AF2"/>
    <w:rsid w:val="003E4C35"/>
    <w:rsid w:val="003F3B3E"/>
    <w:rsid w:val="0041689D"/>
    <w:rsid w:val="00424E5B"/>
    <w:rsid w:val="0042666E"/>
    <w:rsid w:val="004329AB"/>
    <w:rsid w:val="00433CA1"/>
    <w:rsid w:val="004363DE"/>
    <w:rsid w:val="00436FB9"/>
    <w:rsid w:val="0044060D"/>
    <w:rsid w:val="00444007"/>
    <w:rsid w:val="0044489F"/>
    <w:rsid w:val="00445190"/>
    <w:rsid w:val="00450BD2"/>
    <w:rsid w:val="0045262D"/>
    <w:rsid w:val="00481625"/>
    <w:rsid w:val="00482864"/>
    <w:rsid w:val="00485461"/>
    <w:rsid w:val="004A02EE"/>
    <w:rsid w:val="004A4F63"/>
    <w:rsid w:val="004B72AE"/>
    <w:rsid w:val="004C1866"/>
    <w:rsid w:val="004C3429"/>
    <w:rsid w:val="004D2BAB"/>
    <w:rsid w:val="004D6BC6"/>
    <w:rsid w:val="004F3B32"/>
    <w:rsid w:val="004F7AE3"/>
    <w:rsid w:val="0051030A"/>
    <w:rsid w:val="0051633D"/>
    <w:rsid w:val="0052035F"/>
    <w:rsid w:val="005222BD"/>
    <w:rsid w:val="0054384F"/>
    <w:rsid w:val="00544C6D"/>
    <w:rsid w:val="00552EBD"/>
    <w:rsid w:val="00555EA0"/>
    <w:rsid w:val="00560BB3"/>
    <w:rsid w:val="0056644C"/>
    <w:rsid w:val="00566DD4"/>
    <w:rsid w:val="00572AF4"/>
    <w:rsid w:val="00572C7B"/>
    <w:rsid w:val="00575924"/>
    <w:rsid w:val="0058435F"/>
    <w:rsid w:val="005B476C"/>
    <w:rsid w:val="005D0E9A"/>
    <w:rsid w:val="005D2240"/>
    <w:rsid w:val="005D7784"/>
    <w:rsid w:val="005F3D02"/>
    <w:rsid w:val="005F67E6"/>
    <w:rsid w:val="00611AAA"/>
    <w:rsid w:val="006126FB"/>
    <w:rsid w:val="00620150"/>
    <w:rsid w:val="00623EDC"/>
    <w:rsid w:val="006245CB"/>
    <w:rsid w:val="00641311"/>
    <w:rsid w:val="006463BE"/>
    <w:rsid w:val="00656E8B"/>
    <w:rsid w:val="0066006C"/>
    <w:rsid w:val="00682405"/>
    <w:rsid w:val="006A2FF8"/>
    <w:rsid w:val="006B276A"/>
    <w:rsid w:val="006B2F47"/>
    <w:rsid w:val="006B3C22"/>
    <w:rsid w:val="006B7CFC"/>
    <w:rsid w:val="006C3C6E"/>
    <w:rsid w:val="006C4A0A"/>
    <w:rsid w:val="006C5225"/>
    <w:rsid w:val="006C65EF"/>
    <w:rsid w:val="006C77B4"/>
    <w:rsid w:val="006D594D"/>
    <w:rsid w:val="006D76A3"/>
    <w:rsid w:val="006F1D32"/>
    <w:rsid w:val="006F42A6"/>
    <w:rsid w:val="00701B6F"/>
    <w:rsid w:val="007070FD"/>
    <w:rsid w:val="0071224E"/>
    <w:rsid w:val="00713E9D"/>
    <w:rsid w:val="00715269"/>
    <w:rsid w:val="00717767"/>
    <w:rsid w:val="00727069"/>
    <w:rsid w:val="00742341"/>
    <w:rsid w:val="00747140"/>
    <w:rsid w:val="00754F56"/>
    <w:rsid w:val="00757EDB"/>
    <w:rsid w:val="00784680"/>
    <w:rsid w:val="0078484A"/>
    <w:rsid w:val="00790BC1"/>
    <w:rsid w:val="00797441"/>
    <w:rsid w:val="007A7A40"/>
    <w:rsid w:val="007B1C28"/>
    <w:rsid w:val="007C601D"/>
    <w:rsid w:val="007F1B2F"/>
    <w:rsid w:val="007F4F12"/>
    <w:rsid w:val="007F6BFC"/>
    <w:rsid w:val="00801B7E"/>
    <w:rsid w:val="0080458A"/>
    <w:rsid w:val="0081370E"/>
    <w:rsid w:val="00814A32"/>
    <w:rsid w:val="00815FC7"/>
    <w:rsid w:val="00816B6C"/>
    <w:rsid w:val="0083191B"/>
    <w:rsid w:val="00833405"/>
    <w:rsid w:val="00834DEC"/>
    <w:rsid w:val="00836534"/>
    <w:rsid w:val="00844EBB"/>
    <w:rsid w:val="0085057B"/>
    <w:rsid w:val="00851571"/>
    <w:rsid w:val="008563C1"/>
    <w:rsid w:val="008667D9"/>
    <w:rsid w:val="008707AD"/>
    <w:rsid w:val="008714E9"/>
    <w:rsid w:val="00877C8E"/>
    <w:rsid w:val="00883B42"/>
    <w:rsid w:val="008A605C"/>
    <w:rsid w:val="008C5683"/>
    <w:rsid w:val="008C7A21"/>
    <w:rsid w:val="008E3B57"/>
    <w:rsid w:val="00900478"/>
    <w:rsid w:val="00907482"/>
    <w:rsid w:val="009124D8"/>
    <w:rsid w:val="00912611"/>
    <w:rsid w:val="00912669"/>
    <w:rsid w:val="00916A20"/>
    <w:rsid w:val="00921487"/>
    <w:rsid w:val="00926549"/>
    <w:rsid w:val="00926E95"/>
    <w:rsid w:val="00927177"/>
    <w:rsid w:val="009343BA"/>
    <w:rsid w:val="00935737"/>
    <w:rsid w:val="00940C13"/>
    <w:rsid w:val="009456F7"/>
    <w:rsid w:val="0095177F"/>
    <w:rsid w:val="00951EE2"/>
    <w:rsid w:val="009547E8"/>
    <w:rsid w:val="00956571"/>
    <w:rsid w:val="00957982"/>
    <w:rsid w:val="0096643C"/>
    <w:rsid w:val="00981623"/>
    <w:rsid w:val="00985B76"/>
    <w:rsid w:val="009878AD"/>
    <w:rsid w:val="00992581"/>
    <w:rsid w:val="00994F5A"/>
    <w:rsid w:val="009A0628"/>
    <w:rsid w:val="009B2288"/>
    <w:rsid w:val="009B5142"/>
    <w:rsid w:val="009B59C2"/>
    <w:rsid w:val="009C1104"/>
    <w:rsid w:val="009D17A3"/>
    <w:rsid w:val="009E3C9A"/>
    <w:rsid w:val="009F27EA"/>
    <w:rsid w:val="009F3FDC"/>
    <w:rsid w:val="009F63F0"/>
    <w:rsid w:val="00A02DCD"/>
    <w:rsid w:val="00A112ED"/>
    <w:rsid w:val="00A15C2D"/>
    <w:rsid w:val="00A225D5"/>
    <w:rsid w:val="00A40401"/>
    <w:rsid w:val="00A53211"/>
    <w:rsid w:val="00A5390A"/>
    <w:rsid w:val="00A7121F"/>
    <w:rsid w:val="00A733E6"/>
    <w:rsid w:val="00A803BB"/>
    <w:rsid w:val="00A83496"/>
    <w:rsid w:val="00A901FD"/>
    <w:rsid w:val="00A9031D"/>
    <w:rsid w:val="00A9668D"/>
    <w:rsid w:val="00A968DB"/>
    <w:rsid w:val="00AB54B3"/>
    <w:rsid w:val="00AB69C6"/>
    <w:rsid w:val="00AB72EE"/>
    <w:rsid w:val="00AC216E"/>
    <w:rsid w:val="00AC35C5"/>
    <w:rsid w:val="00AC7216"/>
    <w:rsid w:val="00AE436B"/>
    <w:rsid w:val="00B00961"/>
    <w:rsid w:val="00B12992"/>
    <w:rsid w:val="00B201AD"/>
    <w:rsid w:val="00B2262D"/>
    <w:rsid w:val="00B226D4"/>
    <w:rsid w:val="00B30114"/>
    <w:rsid w:val="00B3050B"/>
    <w:rsid w:val="00B317E7"/>
    <w:rsid w:val="00B36619"/>
    <w:rsid w:val="00B413A8"/>
    <w:rsid w:val="00B42B74"/>
    <w:rsid w:val="00B453B0"/>
    <w:rsid w:val="00B5344E"/>
    <w:rsid w:val="00B53E0E"/>
    <w:rsid w:val="00B55C62"/>
    <w:rsid w:val="00B71C34"/>
    <w:rsid w:val="00B76370"/>
    <w:rsid w:val="00B8089D"/>
    <w:rsid w:val="00B81975"/>
    <w:rsid w:val="00B83B91"/>
    <w:rsid w:val="00BA245B"/>
    <w:rsid w:val="00BA2F17"/>
    <w:rsid w:val="00BD2357"/>
    <w:rsid w:val="00BD7FF3"/>
    <w:rsid w:val="00BE7A7D"/>
    <w:rsid w:val="00C02579"/>
    <w:rsid w:val="00C0506C"/>
    <w:rsid w:val="00C24897"/>
    <w:rsid w:val="00C33962"/>
    <w:rsid w:val="00C40E07"/>
    <w:rsid w:val="00C46C92"/>
    <w:rsid w:val="00C520CA"/>
    <w:rsid w:val="00C76907"/>
    <w:rsid w:val="00C87EB5"/>
    <w:rsid w:val="00C90F02"/>
    <w:rsid w:val="00CA0470"/>
    <w:rsid w:val="00CA2A14"/>
    <w:rsid w:val="00CB47C6"/>
    <w:rsid w:val="00CB4D57"/>
    <w:rsid w:val="00CE0709"/>
    <w:rsid w:val="00CE1C28"/>
    <w:rsid w:val="00CE4416"/>
    <w:rsid w:val="00CE595F"/>
    <w:rsid w:val="00CE5CF0"/>
    <w:rsid w:val="00D017EA"/>
    <w:rsid w:val="00D03AC8"/>
    <w:rsid w:val="00D15631"/>
    <w:rsid w:val="00D225DB"/>
    <w:rsid w:val="00D30487"/>
    <w:rsid w:val="00D30EF2"/>
    <w:rsid w:val="00D31AD3"/>
    <w:rsid w:val="00D35F40"/>
    <w:rsid w:val="00D44064"/>
    <w:rsid w:val="00D51989"/>
    <w:rsid w:val="00D561C5"/>
    <w:rsid w:val="00D605B9"/>
    <w:rsid w:val="00D6674D"/>
    <w:rsid w:val="00D85734"/>
    <w:rsid w:val="00D93A31"/>
    <w:rsid w:val="00DA12BF"/>
    <w:rsid w:val="00DA17E6"/>
    <w:rsid w:val="00DB0580"/>
    <w:rsid w:val="00DB1E40"/>
    <w:rsid w:val="00DB7AB3"/>
    <w:rsid w:val="00DC0508"/>
    <w:rsid w:val="00DC0677"/>
    <w:rsid w:val="00DC554B"/>
    <w:rsid w:val="00DC5FDF"/>
    <w:rsid w:val="00DD0DDA"/>
    <w:rsid w:val="00DE01F1"/>
    <w:rsid w:val="00DE30AF"/>
    <w:rsid w:val="00DE6D45"/>
    <w:rsid w:val="00DF41E9"/>
    <w:rsid w:val="00E06A74"/>
    <w:rsid w:val="00E13F7B"/>
    <w:rsid w:val="00E1533B"/>
    <w:rsid w:val="00E16013"/>
    <w:rsid w:val="00E16877"/>
    <w:rsid w:val="00E21F33"/>
    <w:rsid w:val="00E259C1"/>
    <w:rsid w:val="00E26F34"/>
    <w:rsid w:val="00E26F5F"/>
    <w:rsid w:val="00E274A3"/>
    <w:rsid w:val="00E451B0"/>
    <w:rsid w:val="00E46597"/>
    <w:rsid w:val="00E47D50"/>
    <w:rsid w:val="00E724A2"/>
    <w:rsid w:val="00E86F61"/>
    <w:rsid w:val="00E935DB"/>
    <w:rsid w:val="00ED0191"/>
    <w:rsid w:val="00EE05FD"/>
    <w:rsid w:val="00EE1E7A"/>
    <w:rsid w:val="00EE667A"/>
    <w:rsid w:val="00EF567A"/>
    <w:rsid w:val="00F1690F"/>
    <w:rsid w:val="00F175B7"/>
    <w:rsid w:val="00F178A3"/>
    <w:rsid w:val="00F36545"/>
    <w:rsid w:val="00F417A6"/>
    <w:rsid w:val="00F64278"/>
    <w:rsid w:val="00F73932"/>
    <w:rsid w:val="00F76664"/>
    <w:rsid w:val="00F86D0C"/>
    <w:rsid w:val="00FA12E1"/>
    <w:rsid w:val="00FC70BD"/>
    <w:rsid w:val="00FF0727"/>
    <w:rsid w:val="00FF6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3E7AE"/>
  <w14:defaultImageDpi w14:val="300"/>
  <w15:docId w15:val="{9841C6E9-27C6-3E4D-8C24-71193780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3DE"/>
    <w:rPr>
      <w:rFonts w:ascii="Times New Roman" w:eastAsia="Times New Roman" w:hAnsi="Times New Roman" w:cs="Times New Roman"/>
    </w:rPr>
  </w:style>
  <w:style w:type="paragraph" w:styleId="Heading1">
    <w:name w:val="heading 1"/>
    <w:basedOn w:val="Normal"/>
    <w:next w:val="Normal"/>
    <w:link w:val="Heading1Char"/>
    <w:uiPriority w:val="9"/>
    <w:qFormat/>
    <w:rsid w:val="004D6BC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D778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F12"/>
    <w:rPr>
      <w:color w:val="0000FF" w:themeColor="hyperlink"/>
      <w:u w:val="single"/>
    </w:rPr>
  </w:style>
  <w:style w:type="paragraph" w:styleId="ListParagraph">
    <w:name w:val="List Paragraph"/>
    <w:basedOn w:val="Normal"/>
    <w:uiPriority w:val="34"/>
    <w:qFormat/>
    <w:rsid w:val="00FF0727"/>
    <w:pPr>
      <w:ind w:left="720"/>
      <w:contextualSpacing/>
    </w:pPr>
    <w:rPr>
      <w:rFonts w:asciiTheme="minorHAnsi" w:eastAsiaTheme="minorEastAsia" w:hAnsiTheme="minorHAnsi" w:cstheme="minorBidi"/>
    </w:rPr>
  </w:style>
  <w:style w:type="paragraph" w:styleId="NormalWeb">
    <w:name w:val="Normal (Web)"/>
    <w:basedOn w:val="Normal"/>
    <w:uiPriority w:val="99"/>
    <w:unhideWhenUsed/>
    <w:rsid w:val="003C3802"/>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6D76A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6D76A3"/>
    <w:rPr>
      <w:rFonts w:ascii="Lucida Grande" w:hAnsi="Lucida Grande" w:cs="Lucida Grande"/>
      <w:sz w:val="18"/>
      <w:szCs w:val="18"/>
    </w:rPr>
  </w:style>
  <w:style w:type="paragraph" w:styleId="NoSpacing">
    <w:name w:val="No Spacing"/>
    <w:uiPriority w:val="1"/>
    <w:qFormat/>
    <w:rsid w:val="00016D3F"/>
    <w:rPr>
      <w:rFonts w:eastAsiaTheme="minorHAnsi"/>
      <w:sz w:val="22"/>
      <w:szCs w:val="22"/>
    </w:rPr>
  </w:style>
  <w:style w:type="character" w:styleId="FootnoteReference">
    <w:name w:val="footnote reference"/>
    <w:basedOn w:val="DefaultParagraphFont"/>
    <w:uiPriority w:val="99"/>
    <w:unhideWhenUsed/>
    <w:rsid w:val="00016D3F"/>
    <w:rPr>
      <w:vertAlign w:val="superscript"/>
    </w:rPr>
  </w:style>
  <w:style w:type="character" w:customStyle="1" w:styleId="apple-converted-space">
    <w:name w:val="apple-converted-space"/>
    <w:basedOn w:val="DefaultParagraphFont"/>
    <w:rsid w:val="001043AA"/>
  </w:style>
  <w:style w:type="character" w:styleId="FollowedHyperlink">
    <w:name w:val="FollowedHyperlink"/>
    <w:basedOn w:val="DefaultParagraphFont"/>
    <w:uiPriority w:val="99"/>
    <w:semiHidden/>
    <w:unhideWhenUsed/>
    <w:rsid w:val="001043AA"/>
    <w:rPr>
      <w:color w:val="800080" w:themeColor="followedHyperlink"/>
      <w:u w:val="single"/>
    </w:rPr>
  </w:style>
  <w:style w:type="character" w:styleId="UnresolvedMention">
    <w:name w:val="Unresolved Mention"/>
    <w:basedOn w:val="DefaultParagraphFont"/>
    <w:uiPriority w:val="99"/>
    <w:semiHidden/>
    <w:unhideWhenUsed/>
    <w:rsid w:val="00C33962"/>
    <w:rPr>
      <w:color w:val="605E5C"/>
      <w:shd w:val="clear" w:color="auto" w:fill="E1DFDD"/>
    </w:rPr>
  </w:style>
  <w:style w:type="character" w:styleId="Emphasis">
    <w:name w:val="Emphasis"/>
    <w:basedOn w:val="DefaultParagraphFont"/>
    <w:uiPriority w:val="20"/>
    <w:qFormat/>
    <w:rsid w:val="001F41F4"/>
    <w:rPr>
      <w:i/>
      <w:iCs/>
    </w:rPr>
  </w:style>
  <w:style w:type="paragraph" w:customStyle="1" w:styleId="Default">
    <w:name w:val="Default"/>
    <w:rsid w:val="00CE5CF0"/>
    <w:pPr>
      <w:autoSpaceDE w:val="0"/>
      <w:autoSpaceDN w:val="0"/>
      <w:adjustRightInd w:val="0"/>
    </w:pPr>
    <w:rPr>
      <w:rFonts w:ascii="Cambria" w:hAnsi="Cambria" w:cs="Cambria"/>
      <w:color w:val="000000"/>
      <w:lang w:val="en-GB"/>
    </w:rPr>
  </w:style>
  <w:style w:type="character" w:customStyle="1" w:styleId="Heading3Char">
    <w:name w:val="Heading 3 Char"/>
    <w:basedOn w:val="DefaultParagraphFont"/>
    <w:link w:val="Heading3"/>
    <w:uiPriority w:val="9"/>
    <w:rsid w:val="005D7784"/>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4D6BC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72476">
      <w:bodyDiv w:val="1"/>
      <w:marLeft w:val="0"/>
      <w:marRight w:val="0"/>
      <w:marTop w:val="0"/>
      <w:marBottom w:val="0"/>
      <w:divBdr>
        <w:top w:val="none" w:sz="0" w:space="0" w:color="auto"/>
        <w:left w:val="none" w:sz="0" w:space="0" w:color="auto"/>
        <w:bottom w:val="none" w:sz="0" w:space="0" w:color="auto"/>
        <w:right w:val="none" w:sz="0" w:space="0" w:color="auto"/>
      </w:divBdr>
    </w:div>
    <w:div w:id="312687247">
      <w:bodyDiv w:val="1"/>
      <w:marLeft w:val="0"/>
      <w:marRight w:val="0"/>
      <w:marTop w:val="0"/>
      <w:marBottom w:val="0"/>
      <w:divBdr>
        <w:top w:val="none" w:sz="0" w:space="0" w:color="auto"/>
        <w:left w:val="none" w:sz="0" w:space="0" w:color="auto"/>
        <w:bottom w:val="none" w:sz="0" w:space="0" w:color="auto"/>
        <w:right w:val="none" w:sz="0" w:space="0" w:color="auto"/>
      </w:divBdr>
      <w:divsChild>
        <w:div w:id="1448812165">
          <w:marLeft w:val="0"/>
          <w:marRight w:val="0"/>
          <w:marTop w:val="0"/>
          <w:marBottom w:val="0"/>
          <w:divBdr>
            <w:top w:val="none" w:sz="0" w:space="0" w:color="auto"/>
            <w:left w:val="none" w:sz="0" w:space="0" w:color="auto"/>
            <w:bottom w:val="none" w:sz="0" w:space="0" w:color="auto"/>
            <w:right w:val="none" w:sz="0" w:space="0" w:color="auto"/>
          </w:divBdr>
        </w:div>
        <w:div w:id="1600524018">
          <w:marLeft w:val="0"/>
          <w:marRight w:val="0"/>
          <w:marTop w:val="0"/>
          <w:marBottom w:val="0"/>
          <w:divBdr>
            <w:top w:val="none" w:sz="0" w:space="0" w:color="auto"/>
            <w:left w:val="none" w:sz="0" w:space="0" w:color="auto"/>
            <w:bottom w:val="none" w:sz="0" w:space="0" w:color="auto"/>
            <w:right w:val="none" w:sz="0" w:space="0" w:color="auto"/>
          </w:divBdr>
        </w:div>
        <w:div w:id="1521044329">
          <w:marLeft w:val="0"/>
          <w:marRight w:val="0"/>
          <w:marTop w:val="0"/>
          <w:marBottom w:val="0"/>
          <w:divBdr>
            <w:top w:val="none" w:sz="0" w:space="0" w:color="auto"/>
            <w:left w:val="none" w:sz="0" w:space="0" w:color="auto"/>
            <w:bottom w:val="none" w:sz="0" w:space="0" w:color="auto"/>
            <w:right w:val="none" w:sz="0" w:space="0" w:color="auto"/>
          </w:divBdr>
        </w:div>
      </w:divsChild>
    </w:div>
    <w:div w:id="408699210">
      <w:bodyDiv w:val="1"/>
      <w:marLeft w:val="0"/>
      <w:marRight w:val="0"/>
      <w:marTop w:val="0"/>
      <w:marBottom w:val="0"/>
      <w:divBdr>
        <w:top w:val="none" w:sz="0" w:space="0" w:color="auto"/>
        <w:left w:val="none" w:sz="0" w:space="0" w:color="auto"/>
        <w:bottom w:val="none" w:sz="0" w:space="0" w:color="auto"/>
        <w:right w:val="none" w:sz="0" w:space="0" w:color="auto"/>
      </w:divBdr>
    </w:div>
    <w:div w:id="460001010">
      <w:bodyDiv w:val="1"/>
      <w:marLeft w:val="0"/>
      <w:marRight w:val="0"/>
      <w:marTop w:val="0"/>
      <w:marBottom w:val="0"/>
      <w:divBdr>
        <w:top w:val="none" w:sz="0" w:space="0" w:color="auto"/>
        <w:left w:val="none" w:sz="0" w:space="0" w:color="auto"/>
        <w:bottom w:val="none" w:sz="0" w:space="0" w:color="auto"/>
        <w:right w:val="none" w:sz="0" w:space="0" w:color="auto"/>
      </w:divBdr>
      <w:divsChild>
        <w:div w:id="1181242471">
          <w:marLeft w:val="0"/>
          <w:marRight w:val="0"/>
          <w:marTop w:val="0"/>
          <w:marBottom w:val="0"/>
          <w:divBdr>
            <w:top w:val="none" w:sz="0" w:space="0" w:color="auto"/>
            <w:left w:val="none" w:sz="0" w:space="0" w:color="auto"/>
            <w:bottom w:val="none" w:sz="0" w:space="0" w:color="auto"/>
            <w:right w:val="none" w:sz="0" w:space="0" w:color="auto"/>
          </w:divBdr>
          <w:divsChild>
            <w:div w:id="1921676314">
              <w:marLeft w:val="0"/>
              <w:marRight w:val="0"/>
              <w:marTop w:val="0"/>
              <w:marBottom w:val="0"/>
              <w:divBdr>
                <w:top w:val="none" w:sz="0" w:space="0" w:color="auto"/>
                <w:left w:val="none" w:sz="0" w:space="0" w:color="auto"/>
                <w:bottom w:val="none" w:sz="0" w:space="0" w:color="auto"/>
                <w:right w:val="none" w:sz="0" w:space="0" w:color="auto"/>
              </w:divBdr>
              <w:divsChild>
                <w:div w:id="17153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71913">
      <w:bodyDiv w:val="1"/>
      <w:marLeft w:val="0"/>
      <w:marRight w:val="0"/>
      <w:marTop w:val="0"/>
      <w:marBottom w:val="0"/>
      <w:divBdr>
        <w:top w:val="none" w:sz="0" w:space="0" w:color="auto"/>
        <w:left w:val="none" w:sz="0" w:space="0" w:color="auto"/>
        <w:bottom w:val="none" w:sz="0" w:space="0" w:color="auto"/>
        <w:right w:val="none" w:sz="0" w:space="0" w:color="auto"/>
      </w:divBdr>
    </w:div>
    <w:div w:id="499582569">
      <w:bodyDiv w:val="1"/>
      <w:marLeft w:val="0"/>
      <w:marRight w:val="0"/>
      <w:marTop w:val="0"/>
      <w:marBottom w:val="0"/>
      <w:divBdr>
        <w:top w:val="none" w:sz="0" w:space="0" w:color="auto"/>
        <w:left w:val="none" w:sz="0" w:space="0" w:color="auto"/>
        <w:bottom w:val="none" w:sz="0" w:space="0" w:color="auto"/>
        <w:right w:val="none" w:sz="0" w:space="0" w:color="auto"/>
      </w:divBdr>
    </w:div>
    <w:div w:id="502479908">
      <w:bodyDiv w:val="1"/>
      <w:marLeft w:val="0"/>
      <w:marRight w:val="0"/>
      <w:marTop w:val="0"/>
      <w:marBottom w:val="0"/>
      <w:divBdr>
        <w:top w:val="none" w:sz="0" w:space="0" w:color="auto"/>
        <w:left w:val="none" w:sz="0" w:space="0" w:color="auto"/>
        <w:bottom w:val="none" w:sz="0" w:space="0" w:color="auto"/>
        <w:right w:val="none" w:sz="0" w:space="0" w:color="auto"/>
      </w:divBdr>
      <w:divsChild>
        <w:div w:id="6372203">
          <w:marLeft w:val="0"/>
          <w:marRight w:val="0"/>
          <w:marTop w:val="0"/>
          <w:marBottom w:val="0"/>
          <w:divBdr>
            <w:top w:val="none" w:sz="0" w:space="0" w:color="auto"/>
            <w:left w:val="none" w:sz="0" w:space="0" w:color="auto"/>
            <w:bottom w:val="none" w:sz="0" w:space="0" w:color="auto"/>
            <w:right w:val="none" w:sz="0" w:space="0" w:color="auto"/>
          </w:divBdr>
        </w:div>
        <w:div w:id="80101379">
          <w:marLeft w:val="0"/>
          <w:marRight w:val="0"/>
          <w:marTop w:val="0"/>
          <w:marBottom w:val="0"/>
          <w:divBdr>
            <w:top w:val="none" w:sz="0" w:space="0" w:color="auto"/>
            <w:left w:val="none" w:sz="0" w:space="0" w:color="auto"/>
            <w:bottom w:val="none" w:sz="0" w:space="0" w:color="auto"/>
            <w:right w:val="none" w:sz="0" w:space="0" w:color="auto"/>
          </w:divBdr>
        </w:div>
        <w:div w:id="1389920182">
          <w:marLeft w:val="0"/>
          <w:marRight w:val="0"/>
          <w:marTop w:val="0"/>
          <w:marBottom w:val="0"/>
          <w:divBdr>
            <w:top w:val="none" w:sz="0" w:space="0" w:color="auto"/>
            <w:left w:val="none" w:sz="0" w:space="0" w:color="auto"/>
            <w:bottom w:val="none" w:sz="0" w:space="0" w:color="auto"/>
            <w:right w:val="none" w:sz="0" w:space="0" w:color="auto"/>
          </w:divBdr>
        </w:div>
        <w:div w:id="508446579">
          <w:marLeft w:val="0"/>
          <w:marRight w:val="0"/>
          <w:marTop w:val="0"/>
          <w:marBottom w:val="0"/>
          <w:divBdr>
            <w:top w:val="none" w:sz="0" w:space="0" w:color="auto"/>
            <w:left w:val="none" w:sz="0" w:space="0" w:color="auto"/>
            <w:bottom w:val="none" w:sz="0" w:space="0" w:color="auto"/>
            <w:right w:val="none" w:sz="0" w:space="0" w:color="auto"/>
          </w:divBdr>
        </w:div>
        <w:div w:id="317342709">
          <w:marLeft w:val="0"/>
          <w:marRight w:val="0"/>
          <w:marTop w:val="0"/>
          <w:marBottom w:val="0"/>
          <w:divBdr>
            <w:top w:val="none" w:sz="0" w:space="0" w:color="auto"/>
            <w:left w:val="none" w:sz="0" w:space="0" w:color="auto"/>
            <w:bottom w:val="none" w:sz="0" w:space="0" w:color="auto"/>
            <w:right w:val="none" w:sz="0" w:space="0" w:color="auto"/>
          </w:divBdr>
        </w:div>
        <w:div w:id="664746466">
          <w:marLeft w:val="0"/>
          <w:marRight w:val="0"/>
          <w:marTop w:val="0"/>
          <w:marBottom w:val="0"/>
          <w:divBdr>
            <w:top w:val="none" w:sz="0" w:space="0" w:color="auto"/>
            <w:left w:val="none" w:sz="0" w:space="0" w:color="auto"/>
            <w:bottom w:val="none" w:sz="0" w:space="0" w:color="auto"/>
            <w:right w:val="none" w:sz="0" w:space="0" w:color="auto"/>
          </w:divBdr>
        </w:div>
        <w:div w:id="443042879">
          <w:marLeft w:val="0"/>
          <w:marRight w:val="0"/>
          <w:marTop w:val="0"/>
          <w:marBottom w:val="0"/>
          <w:divBdr>
            <w:top w:val="none" w:sz="0" w:space="0" w:color="auto"/>
            <w:left w:val="none" w:sz="0" w:space="0" w:color="auto"/>
            <w:bottom w:val="none" w:sz="0" w:space="0" w:color="auto"/>
            <w:right w:val="none" w:sz="0" w:space="0" w:color="auto"/>
          </w:divBdr>
        </w:div>
        <w:div w:id="850799811">
          <w:marLeft w:val="0"/>
          <w:marRight w:val="0"/>
          <w:marTop w:val="0"/>
          <w:marBottom w:val="0"/>
          <w:divBdr>
            <w:top w:val="none" w:sz="0" w:space="0" w:color="auto"/>
            <w:left w:val="none" w:sz="0" w:space="0" w:color="auto"/>
            <w:bottom w:val="none" w:sz="0" w:space="0" w:color="auto"/>
            <w:right w:val="none" w:sz="0" w:space="0" w:color="auto"/>
          </w:divBdr>
        </w:div>
        <w:div w:id="1457022744">
          <w:marLeft w:val="0"/>
          <w:marRight w:val="0"/>
          <w:marTop w:val="0"/>
          <w:marBottom w:val="0"/>
          <w:divBdr>
            <w:top w:val="none" w:sz="0" w:space="0" w:color="auto"/>
            <w:left w:val="none" w:sz="0" w:space="0" w:color="auto"/>
            <w:bottom w:val="none" w:sz="0" w:space="0" w:color="auto"/>
            <w:right w:val="none" w:sz="0" w:space="0" w:color="auto"/>
          </w:divBdr>
        </w:div>
        <w:div w:id="725908029">
          <w:marLeft w:val="0"/>
          <w:marRight w:val="0"/>
          <w:marTop w:val="0"/>
          <w:marBottom w:val="0"/>
          <w:divBdr>
            <w:top w:val="none" w:sz="0" w:space="0" w:color="auto"/>
            <w:left w:val="none" w:sz="0" w:space="0" w:color="auto"/>
            <w:bottom w:val="none" w:sz="0" w:space="0" w:color="auto"/>
            <w:right w:val="none" w:sz="0" w:space="0" w:color="auto"/>
          </w:divBdr>
        </w:div>
      </w:divsChild>
    </w:div>
    <w:div w:id="527453802">
      <w:bodyDiv w:val="1"/>
      <w:marLeft w:val="0"/>
      <w:marRight w:val="0"/>
      <w:marTop w:val="0"/>
      <w:marBottom w:val="0"/>
      <w:divBdr>
        <w:top w:val="none" w:sz="0" w:space="0" w:color="auto"/>
        <w:left w:val="none" w:sz="0" w:space="0" w:color="auto"/>
        <w:bottom w:val="none" w:sz="0" w:space="0" w:color="auto"/>
        <w:right w:val="none" w:sz="0" w:space="0" w:color="auto"/>
      </w:divBdr>
      <w:divsChild>
        <w:div w:id="994718924">
          <w:marLeft w:val="0"/>
          <w:marRight w:val="0"/>
          <w:marTop w:val="0"/>
          <w:marBottom w:val="0"/>
          <w:divBdr>
            <w:top w:val="none" w:sz="0" w:space="0" w:color="auto"/>
            <w:left w:val="none" w:sz="0" w:space="0" w:color="auto"/>
            <w:bottom w:val="none" w:sz="0" w:space="0" w:color="auto"/>
            <w:right w:val="none" w:sz="0" w:space="0" w:color="auto"/>
          </w:divBdr>
          <w:divsChild>
            <w:div w:id="1383554977">
              <w:marLeft w:val="0"/>
              <w:marRight w:val="0"/>
              <w:marTop w:val="0"/>
              <w:marBottom w:val="0"/>
              <w:divBdr>
                <w:top w:val="none" w:sz="0" w:space="0" w:color="auto"/>
                <w:left w:val="none" w:sz="0" w:space="0" w:color="auto"/>
                <w:bottom w:val="none" w:sz="0" w:space="0" w:color="auto"/>
                <w:right w:val="none" w:sz="0" w:space="0" w:color="auto"/>
              </w:divBdr>
              <w:divsChild>
                <w:div w:id="21110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940059">
      <w:bodyDiv w:val="1"/>
      <w:marLeft w:val="0"/>
      <w:marRight w:val="0"/>
      <w:marTop w:val="0"/>
      <w:marBottom w:val="0"/>
      <w:divBdr>
        <w:top w:val="none" w:sz="0" w:space="0" w:color="auto"/>
        <w:left w:val="none" w:sz="0" w:space="0" w:color="auto"/>
        <w:bottom w:val="none" w:sz="0" w:space="0" w:color="auto"/>
        <w:right w:val="none" w:sz="0" w:space="0" w:color="auto"/>
      </w:divBdr>
    </w:div>
    <w:div w:id="747963507">
      <w:bodyDiv w:val="1"/>
      <w:marLeft w:val="0"/>
      <w:marRight w:val="0"/>
      <w:marTop w:val="0"/>
      <w:marBottom w:val="0"/>
      <w:divBdr>
        <w:top w:val="none" w:sz="0" w:space="0" w:color="auto"/>
        <w:left w:val="none" w:sz="0" w:space="0" w:color="auto"/>
        <w:bottom w:val="none" w:sz="0" w:space="0" w:color="auto"/>
        <w:right w:val="none" w:sz="0" w:space="0" w:color="auto"/>
      </w:divBdr>
    </w:div>
    <w:div w:id="898787811">
      <w:bodyDiv w:val="1"/>
      <w:marLeft w:val="0"/>
      <w:marRight w:val="0"/>
      <w:marTop w:val="0"/>
      <w:marBottom w:val="0"/>
      <w:divBdr>
        <w:top w:val="none" w:sz="0" w:space="0" w:color="auto"/>
        <w:left w:val="none" w:sz="0" w:space="0" w:color="auto"/>
        <w:bottom w:val="none" w:sz="0" w:space="0" w:color="auto"/>
        <w:right w:val="none" w:sz="0" w:space="0" w:color="auto"/>
      </w:divBdr>
    </w:div>
    <w:div w:id="940647826">
      <w:bodyDiv w:val="1"/>
      <w:marLeft w:val="0"/>
      <w:marRight w:val="0"/>
      <w:marTop w:val="0"/>
      <w:marBottom w:val="0"/>
      <w:divBdr>
        <w:top w:val="none" w:sz="0" w:space="0" w:color="auto"/>
        <w:left w:val="none" w:sz="0" w:space="0" w:color="auto"/>
        <w:bottom w:val="none" w:sz="0" w:space="0" w:color="auto"/>
        <w:right w:val="none" w:sz="0" w:space="0" w:color="auto"/>
      </w:divBdr>
    </w:div>
    <w:div w:id="1427339153">
      <w:bodyDiv w:val="1"/>
      <w:marLeft w:val="0"/>
      <w:marRight w:val="0"/>
      <w:marTop w:val="0"/>
      <w:marBottom w:val="0"/>
      <w:divBdr>
        <w:top w:val="none" w:sz="0" w:space="0" w:color="auto"/>
        <w:left w:val="none" w:sz="0" w:space="0" w:color="auto"/>
        <w:bottom w:val="none" w:sz="0" w:space="0" w:color="auto"/>
        <w:right w:val="none" w:sz="0" w:space="0" w:color="auto"/>
      </w:divBdr>
      <w:divsChild>
        <w:div w:id="1674868429">
          <w:marLeft w:val="0"/>
          <w:marRight w:val="0"/>
          <w:marTop w:val="0"/>
          <w:marBottom w:val="0"/>
          <w:divBdr>
            <w:top w:val="none" w:sz="0" w:space="0" w:color="auto"/>
            <w:left w:val="none" w:sz="0" w:space="0" w:color="auto"/>
            <w:bottom w:val="none" w:sz="0" w:space="0" w:color="auto"/>
            <w:right w:val="none" w:sz="0" w:space="0" w:color="auto"/>
          </w:divBdr>
          <w:divsChild>
            <w:div w:id="1613122291">
              <w:marLeft w:val="0"/>
              <w:marRight w:val="0"/>
              <w:marTop w:val="0"/>
              <w:marBottom w:val="0"/>
              <w:divBdr>
                <w:top w:val="none" w:sz="0" w:space="0" w:color="auto"/>
                <w:left w:val="none" w:sz="0" w:space="0" w:color="auto"/>
                <w:bottom w:val="none" w:sz="0" w:space="0" w:color="auto"/>
                <w:right w:val="none" w:sz="0" w:space="0" w:color="auto"/>
              </w:divBdr>
              <w:divsChild>
                <w:div w:id="19859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71742">
      <w:bodyDiv w:val="1"/>
      <w:marLeft w:val="0"/>
      <w:marRight w:val="0"/>
      <w:marTop w:val="0"/>
      <w:marBottom w:val="0"/>
      <w:divBdr>
        <w:top w:val="none" w:sz="0" w:space="0" w:color="auto"/>
        <w:left w:val="none" w:sz="0" w:space="0" w:color="auto"/>
        <w:bottom w:val="none" w:sz="0" w:space="0" w:color="auto"/>
        <w:right w:val="none" w:sz="0" w:space="0" w:color="auto"/>
      </w:divBdr>
    </w:div>
    <w:div w:id="1613708241">
      <w:bodyDiv w:val="1"/>
      <w:marLeft w:val="0"/>
      <w:marRight w:val="0"/>
      <w:marTop w:val="0"/>
      <w:marBottom w:val="0"/>
      <w:divBdr>
        <w:top w:val="none" w:sz="0" w:space="0" w:color="auto"/>
        <w:left w:val="none" w:sz="0" w:space="0" w:color="auto"/>
        <w:bottom w:val="none" w:sz="0" w:space="0" w:color="auto"/>
        <w:right w:val="none" w:sz="0" w:space="0" w:color="auto"/>
      </w:divBdr>
      <w:divsChild>
        <w:div w:id="160782488">
          <w:marLeft w:val="0"/>
          <w:marRight w:val="0"/>
          <w:marTop w:val="0"/>
          <w:marBottom w:val="0"/>
          <w:divBdr>
            <w:top w:val="none" w:sz="0" w:space="0" w:color="auto"/>
            <w:left w:val="none" w:sz="0" w:space="0" w:color="auto"/>
            <w:bottom w:val="none" w:sz="0" w:space="0" w:color="auto"/>
            <w:right w:val="none" w:sz="0" w:space="0" w:color="auto"/>
          </w:divBdr>
        </w:div>
        <w:div w:id="1346404123">
          <w:marLeft w:val="0"/>
          <w:marRight w:val="0"/>
          <w:marTop w:val="0"/>
          <w:marBottom w:val="0"/>
          <w:divBdr>
            <w:top w:val="none" w:sz="0" w:space="0" w:color="auto"/>
            <w:left w:val="none" w:sz="0" w:space="0" w:color="auto"/>
            <w:bottom w:val="none" w:sz="0" w:space="0" w:color="auto"/>
            <w:right w:val="none" w:sz="0" w:space="0" w:color="auto"/>
          </w:divBdr>
        </w:div>
        <w:div w:id="1837721726">
          <w:marLeft w:val="0"/>
          <w:marRight w:val="0"/>
          <w:marTop w:val="0"/>
          <w:marBottom w:val="0"/>
          <w:divBdr>
            <w:top w:val="none" w:sz="0" w:space="0" w:color="auto"/>
            <w:left w:val="none" w:sz="0" w:space="0" w:color="auto"/>
            <w:bottom w:val="none" w:sz="0" w:space="0" w:color="auto"/>
            <w:right w:val="none" w:sz="0" w:space="0" w:color="auto"/>
          </w:divBdr>
        </w:div>
      </w:divsChild>
    </w:div>
    <w:div w:id="1658149223">
      <w:bodyDiv w:val="1"/>
      <w:marLeft w:val="0"/>
      <w:marRight w:val="0"/>
      <w:marTop w:val="0"/>
      <w:marBottom w:val="0"/>
      <w:divBdr>
        <w:top w:val="none" w:sz="0" w:space="0" w:color="auto"/>
        <w:left w:val="none" w:sz="0" w:space="0" w:color="auto"/>
        <w:bottom w:val="none" w:sz="0" w:space="0" w:color="auto"/>
        <w:right w:val="none" w:sz="0" w:space="0" w:color="auto"/>
      </w:divBdr>
    </w:div>
    <w:div w:id="1671172425">
      <w:bodyDiv w:val="1"/>
      <w:marLeft w:val="0"/>
      <w:marRight w:val="0"/>
      <w:marTop w:val="0"/>
      <w:marBottom w:val="0"/>
      <w:divBdr>
        <w:top w:val="none" w:sz="0" w:space="0" w:color="auto"/>
        <w:left w:val="none" w:sz="0" w:space="0" w:color="auto"/>
        <w:bottom w:val="none" w:sz="0" w:space="0" w:color="auto"/>
        <w:right w:val="none" w:sz="0" w:space="0" w:color="auto"/>
      </w:divBdr>
    </w:div>
    <w:div w:id="1951818957">
      <w:bodyDiv w:val="1"/>
      <w:marLeft w:val="0"/>
      <w:marRight w:val="0"/>
      <w:marTop w:val="0"/>
      <w:marBottom w:val="0"/>
      <w:divBdr>
        <w:top w:val="none" w:sz="0" w:space="0" w:color="auto"/>
        <w:left w:val="none" w:sz="0" w:space="0" w:color="auto"/>
        <w:bottom w:val="none" w:sz="0" w:space="0" w:color="auto"/>
        <w:right w:val="none" w:sz="0" w:space="0" w:color="auto"/>
      </w:divBdr>
    </w:div>
    <w:div w:id="1955213939">
      <w:bodyDiv w:val="1"/>
      <w:marLeft w:val="0"/>
      <w:marRight w:val="0"/>
      <w:marTop w:val="0"/>
      <w:marBottom w:val="0"/>
      <w:divBdr>
        <w:top w:val="none" w:sz="0" w:space="0" w:color="auto"/>
        <w:left w:val="none" w:sz="0" w:space="0" w:color="auto"/>
        <w:bottom w:val="none" w:sz="0" w:space="0" w:color="auto"/>
        <w:right w:val="none" w:sz="0" w:space="0" w:color="auto"/>
      </w:divBdr>
    </w:div>
    <w:div w:id="2034332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communicationsinc.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iccat.int/Documents/Meetings/Docs/2012_SHK_ASS_E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cat.int/Documents/Meetings/Docs/2019/REPORTS/2019_SMA_SA_ENG.pdf" TargetMode="External"/><Relationship Id="rId5" Type="http://schemas.openxmlformats.org/officeDocument/2006/relationships/footnotes" Target="footnotes.xml"/><Relationship Id="rId10" Type="http://schemas.openxmlformats.org/officeDocument/2006/relationships/hyperlink" Target="http://sharkleague.org/voicesformakos/" TargetMode="External"/><Relationship Id="rId4" Type="http://schemas.openxmlformats.org/officeDocument/2006/relationships/webSettings" Target="webSettings.xml"/><Relationship Id="rId9" Type="http://schemas.openxmlformats.org/officeDocument/2006/relationships/hyperlink" Target="http://www.sharkleagu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1334</Words>
  <Characters>7607</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Shark Advocates International</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Fordham</dc:creator>
  <cp:keywords/>
  <dc:description/>
  <cp:lastModifiedBy>Camila Ignacia Cuadros Cruz</cp:lastModifiedBy>
  <cp:revision>4</cp:revision>
  <cp:lastPrinted>2018-11-19T17:12:00Z</cp:lastPrinted>
  <dcterms:created xsi:type="dcterms:W3CDTF">2021-11-23T00:01:00Z</dcterms:created>
  <dcterms:modified xsi:type="dcterms:W3CDTF">2021-11-23T10:22:00Z</dcterms:modified>
</cp:coreProperties>
</file>